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A83071">
        <w:rPr>
          <w:rFonts w:ascii="Times New Roman" w:hAnsi="Times New Roman" w:cs="Times New Roman"/>
          <w:b/>
          <w:sz w:val="24"/>
          <w:szCs w:val="24"/>
        </w:rPr>
        <w:t>декабре</w:t>
      </w:r>
      <w:r w:rsidRPr="00BF04DB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2977"/>
        <w:gridCol w:w="3686"/>
        <w:gridCol w:w="7796"/>
      </w:tblGrid>
      <w:tr w:rsidR="00BF04DB" w:rsidTr="00F9481E">
        <w:tc>
          <w:tcPr>
            <w:tcW w:w="562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издавшего документ, дата вступления в силу</w:t>
            </w:r>
          </w:p>
        </w:tc>
        <w:tc>
          <w:tcPr>
            <w:tcW w:w="3686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7796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F04DB" w:rsidTr="00F9481E">
        <w:tc>
          <w:tcPr>
            <w:tcW w:w="562" w:type="dxa"/>
          </w:tcPr>
          <w:p w:rsidR="00BF04DB" w:rsidRPr="00E73CF9" w:rsidRDefault="007D3241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F0" w:rsidRPr="00E7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433A" w:rsidRPr="00CF35F2" w:rsidRDefault="00CF35F2" w:rsidP="00CF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</w:t>
            </w:r>
            <w:r w:rsidR="00F5211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E73CF9" w:rsidRDefault="00E73CF9" w:rsidP="00CF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F9" w:rsidRPr="00E73CF9" w:rsidRDefault="00E73CF9" w:rsidP="00CF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3686" w:type="dxa"/>
          </w:tcPr>
          <w:p w:rsidR="00E73CF9" w:rsidRPr="00E73CF9" w:rsidRDefault="00746950" w:rsidP="00E7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F9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E73CF9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br/>
            </w:r>
            <w:r w:rsidRPr="00E73CF9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от 27.12.2018 № 558-ФЗ </w:t>
            </w:r>
            <w:r w:rsidRPr="00E73CF9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73CF9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      </w:r>
            <w:r w:rsidRPr="00E73CF9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F9481E" w:rsidRDefault="00746950" w:rsidP="00F52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3CF9">
              <w:rPr>
                <w:rFonts w:ascii="Times New Roman" w:hAnsi="Times New Roman" w:cs="Times New Roman"/>
                <w:sz w:val="24"/>
                <w:szCs w:val="24"/>
              </w:rPr>
              <w:t>илищный кодекс</w:t>
            </w:r>
            <w:r w:rsidRPr="00E7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73CF9">
              <w:rPr>
                <w:rFonts w:ascii="Times New Roman" w:hAnsi="Times New Roman" w:cs="Times New Roman"/>
                <w:sz w:val="24"/>
                <w:szCs w:val="24"/>
              </w:rPr>
              <w:t xml:space="preserve"> будет регулировать перепланировку не только жилых, но и нежилых помещений.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t xml:space="preserve">олномочия органов государственного жилищного надзора дополняются вопросами предупреждения, выявления и пресечения нарушений органами государственной власти, органами местного самоуправления, юридическими лицами, индивидуальными предпринимателями и гражданами порядка осуществления перепланировки (или) переустройства помещения в 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t xml:space="preserve">МКД. 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государственного жилищного надзора, 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 (или) переустройства помещений в 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8C1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F04DB" w:rsidRPr="00E73CF9" w:rsidRDefault="00746950" w:rsidP="00F52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F9">
              <w:rPr>
                <w:rFonts w:ascii="Times New Roman" w:hAnsi="Times New Roman" w:cs="Times New Roman"/>
                <w:sz w:val="24"/>
                <w:szCs w:val="24"/>
              </w:rPr>
              <w:t>Общее собрание собственников помещений в МКД будет принимать решения о переустройстве и перепланировке помещения, которое входит в состав общего имущества в доме.</w:t>
            </w:r>
          </w:p>
        </w:tc>
      </w:tr>
      <w:tr w:rsidR="0075433A" w:rsidTr="00F9481E">
        <w:tc>
          <w:tcPr>
            <w:tcW w:w="562" w:type="dxa"/>
          </w:tcPr>
          <w:p w:rsidR="0075433A" w:rsidRPr="00CF35F2" w:rsidRDefault="00CF35F2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</w:tcPr>
          <w:p w:rsidR="00CF35F2" w:rsidRPr="00CF35F2" w:rsidRDefault="00CF35F2" w:rsidP="00CF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F35F2" w:rsidRDefault="00CF35F2" w:rsidP="00CF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A" w:rsidRPr="00557987" w:rsidRDefault="00CF35F2" w:rsidP="00CF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3686" w:type="dxa"/>
          </w:tcPr>
          <w:p w:rsidR="00E73CF9" w:rsidRPr="00E73CF9" w:rsidRDefault="00E73CF9" w:rsidP="00E73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E73CF9">
              <w:rPr>
                <w:rFonts w:ascii="Times New Roman" w:hAnsi="Times New Roman" w:cs="Times New Roman"/>
                <w:sz w:val="24"/>
                <w:szCs w:val="24"/>
              </w:rPr>
              <w:br/>
              <w:t>от 27.12.2018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73C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татью 17.1 Федерального закона «О защите конкуренции»</w:t>
            </w:r>
          </w:p>
          <w:p w:rsidR="0075433A" w:rsidRPr="00E73CF9" w:rsidRDefault="0075433A" w:rsidP="007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73CF9" w:rsidRPr="00E73CF9" w:rsidRDefault="0075433A" w:rsidP="00E7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F9">
              <w:rPr>
                <w:rFonts w:ascii="Times New Roman" w:hAnsi="Times New Roman" w:cs="Times New Roman"/>
                <w:bCs/>
                <w:sz w:val="24"/>
                <w:szCs w:val="24"/>
              </w:rPr>
              <w:t>Вводится единый порядок перезаключения договоров аренды государственного или муниципального имущества на новый срок</w:t>
            </w:r>
            <w:r w:rsidRPr="00E7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73CF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Определено, что 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(за исключением отдельных случаев), заключение такого договора на новый срок с арендатором, надлежащим образом</w:t>
            </w:r>
            <w:r w:rsidR="00CF35F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7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при соблюдении определенных условий. Это положение распространяется также на случаи заключения на новый срок договоров аренды государственного или муниципального имущества, заключенных до 2 июля 2008 года.</w:t>
            </w:r>
          </w:p>
          <w:p w:rsidR="0075433A" w:rsidRPr="00E73CF9" w:rsidRDefault="0075433A" w:rsidP="00E7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Кроме того, предусматривается, что при заключении без проведения конкурсов или аукционов и исполнении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учреждений, договоров аренды,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их цена может быть увеличена по соглашению сторон в порядке, установленном договором.</w:t>
            </w:r>
          </w:p>
        </w:tc>
      </w:tr>
      <w:tr w:rsidR="001A13FA" w:rsidTr="00F9481E">
        <w:tc>
          <w:tcPr>
            <w:tcW w:w="562" w:type="dxa"/>
          </w:tcPr>
          <w:p w:rsidR="001A13FA" w:rsidRPr="00C772AE" w:rsidRDefault="00C772AE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08509F" w:rsidRPr="00CF35F2" w:rsidRDefault="0008509F" w:rsidP="0008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8509F" w:rsidRDefault="0008509F" w:rsidP="0008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9F" w:rsidRDefault="0008509F" w:rsidP="00085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</w:t>
            </w:r>
            <w:r w:rsidR="00C77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13FA" w:rsidRDefault="001A13FA" w:rsidP="0008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3FA" w:rsidRPr="00E73CF9" w:rsidRDefault="001A13FA" w:rsidP="00F94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509F">
              <w:rPr>
                <w:rFonts w:ascii="Times New Roman" w:hAnsi="Times New Roman" w:cs="Times New Roman"/>
                <w:sz w:val="24"/>
                <w:szCs w:val="24"/>
              </w:rPr>
              <w:t>едеральный закон от 25.12.2018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478-ФЗ</w:t>
            </w:r>
            <w:r w:rsidR="0008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5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0850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509F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Федеральный закон 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5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08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8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отдельные законодате</w:t>
            </w:r>
            <w:r w:rsidR="0008509F"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7796" w:type="dxa"/>
          </w:tcPr>
          <w:p w:rsidR="0008509F" w:rsidRDefault="0008509F" w:rsidP="0008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законом, в частности:</w:t>
            </w:r>
          </w:p>
          <w:p w:rsidR="0008509F" w:rsidRPr="0008509F" w:rsidRDefault="0008509F" w:rsidP="0008509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с 10000 до 5000 кв. м площади ранее построенных многоквартирных домов снижается требование к опыту участия застройщиков в строительстве многоквартирных домов, при наличии которого допускается привлечение средств дольщиков;</w:t>
            </w:r>
          </w:p>
          <w:p w:rsidR="0008509F" w:rsidRPr="0008509F" w:rsidRDefault="0008509F" w:rsidP="0008509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застройщикам предоставляется возможность привлекать целевые займы от любых учредителей (участников) застройщика (а не только от своего основного общества);</w:t>
            </w:r>
          </w:p>
          <w:p w:rsidR="0008509F" w:rsidRPr="0008509F" w:rsidRDefault="0008509F" w:rsidP="0008509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исключается механизм плановых проверок застройщиков с одновременным расширением перечня оснований для проведения внеплановых проверок;</w:t>
            </w:r>
          </w:p>
          <w:p w:rsidR="0008509F" w:rsidRPr="0008509F" w:rsidRDefault="0008509F" w:rsidP="0008509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требования граждан по передаче машино-мест и нежилых помещений площадью до 7 кв. м приравниваются к требованиям граждан по передаче жилых помещений;</w:t>
            </w:r>
          </w:p>
          <w:p w:rsidR="0008509F" w:rsidRPr="0008509F" w:rsidRDefault="0008509F" w:rsidP="0008509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предусматривается создание публично-правовой компанией "Фонд защиты прав граждан - участников долевого строительства" фонда в целях финансирования и осуществления мероприятий по завершению строительства объектов незавершенного строительства, для строительства которых привлекались денежные средства участников долевого строительства;</w:t>
            </w:r>
          </w:p>
          <w:p w:rsidR="0008509F" w:rsidRPr="0008509F" w:rsidRDefault="0008509F" w:rsidP="0008509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перевод новых договоров участия в долевом строительстве по ранее начатым проектам, где в качестве механизма обеспечения исполнения обязательств застройщика перед гражданами использовался договор поручительства или договор страхования </w:t>
            </w:r>
            <w:r w:rsidRPr="0008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ответственности, на уплату взноса в компенсационный фонд;</w:t>
            </w:r>
          </w:p>
          <w:p w:rsidR="001A13FA" w:rsidRPr="00E73CF9" w:rsidRDefault="0008509F" w:rsidP="0008509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закрепляется положение о переходе с 1 июля 2019 года на проектное финансирование с использованием счетов эскроу в отношении всех реализуемых застройщиками проектов строительства многоквартирных домов, включая проекты, договоры участия в долевом строительстве по которым заключались до 1 июля 2019 года, за исключением проектов, соответствующих установленным Правительством РФ критериям, определяющим степень готовности таких объектов и количество заключенных договоров участия в долевом строительстве.</w:t>
            </w:r>
          </w:p>
        </w:tc>
      </w:tr>
      <w:tr w:rsidR="00C772AE" w:rsidTr="00F9481E">
        <w:tc>
          <w:tcPr>
            <w:tcW w:w="562" w:type="dxa"/>
          </w:tcPr>
          <w:p w:rsidR="00C772AE" w:rsidRDefault="00C772AE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2AE" w:rsidRDefault="00F9481E" w:rsidP="0008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РФ</w:t>
            </w:r>
          </w:p>
          <w:p w:rsidR="00C772AE" w:rsidRDefault="00C772AE" w:rsidP="0008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AE" w:rsidRDefault="00C772AE" w:rsidP="00C7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  <w:p w:rsidR="00C772AE" w:rsidRDefault="00C772AE" w:rsidP="0008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AE" w:rsidRDefault="00C772AE" w:rsidP="0008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72AE" w:rsidRDefault="00C772AE" w:rsidP="00F94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772A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C772AE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24.09.20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№</w:t>
            </w: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 xml:space="preserve"> 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(или) количественных характеристик объектов недвижимости, влекущем за собой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 их кадастровой стоимости»</w:t>
            </w:r>
          </w:p>
        </w:tc>
        <w:tc>
          <w:tcPr>
            <w:tcW w:w="7796" w:type="dxa"/>
          </w:tcPr>
          <w:p w:rsidR="00C772AE" w:rsidRPr="00C772AE" w:rsidRDefault="00C772AE" w:rsidP="00C77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E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Кадастровая стоимость объектов недвижимости будет определяться в соответствии с новым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>, в частности, уст</w:t>
            </w: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>анавливается:</w:t>
            </w:r>
          </w:p>
          <w:p w:rsidR="00C772AE" w:rsidRPr="00C772AE" w:rsidRDefault="00C772AE" w:rsidP="00C772AE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государственного кадастрового учета в связи с образованием или созданием объекта недвижимости;</w:t>
            </w:r>
          </w:p>
          <w:p w:rsidR="00C772AE" w:rsidRPr="00C772AE" w:rsidRDefault="00C772AE" w:rsidP="00C772AE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>порядок внесения сведений в ЕГРН о ранее учтенном объекте недвижимости;</w:t>
            </w:r>
          </w:p>
          <w:p w:rsidR="00C772AE" w:rsidRPr="00C772AE" w:rsidRDefault="00C772AE" w:rsidP="00C772AE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государственного кадастрового учета в связи с изменением сведений объекта недвижимости;</w:t>
            </w:r>
          </w:p>
          <w:p w:rsidR="00C772AE" w:rsidRPr="00C772AE" w:rsidRDefault="00C772AE" w:rsidP="00C772AE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кадастрового учета в отношении ряда объектов недвижимости (в частности, машино-мест, помещений, единого недвижимого комплекса).</w:t>
            </w:r>
          </w:p>
          <w:p w:rsidR="00C772AE" w:rsidRPr="00C772AE" w:rsidRDefault="00C772AE" w:rsidP="00C77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72AE">
              <w:rPr>
                <w:rFonts w:ascii="Times New Roman" w:hAnsi="Times New Roman" w:cs="Times New Roman"/>
                <w:sz w:val="24"/>
                <w:szCs w:val="24"/>
              </w:rPr>
              <w:t>Порядке отражены последние изменения земельного и градостроительного законодательства, законодательства о кадастровой деятельности и регистрации объектов недвижимости, законодательства о садоводческих товариществах.</w:t>
            </w:r>
          </w:p>
          <w:p w:rsidR="00C772AE" w:rsidRDefault="00C772AE" w:rsidP="0008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DB" w:rsidRP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04DB" w:rsidRPr="00BF04DB" w:rsidSect="0008509F">
      <w:footerReference w:type="default" r:id="rId8"/>
      <w:pgSz w:w="16838" w:h="11906" w:orient="landscape"/>
      <w:pgMar w:top="851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F8" w:rsidRDefault="00E011F8" w:rsidP="007D3241">
      <w:pPr>
        <w:spacing w:after="0" w:line="240" w:lineRule="auto"/>
      </w:pPr>
      <w:r>
        <w:separator/>
      </w:r>
    </w:p>
  </w:endnote>
  <w:endnote w:type="continuationSeparator" w:id="0">
    <w:p w:rsidR="00E011F8" w:rsidRDefault="00E011F8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91132"/>
      <w:docPartObj>
        <w:docPartGallery w:val="Page Numbers (Bottom of Page)"/>
        <w:docPartUnique/>
      </w:docPartObj>
    </w:sdtPr>
    <w:sdtEndPr/>
    <w:sdtContent>
      <w:p w:rsidR="007D3241" w:rsidRDefault="007D32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15">
          <w:rPr>
            <w:noProof/>
          </w:rPr>
          <w:t>2</w:t>
        </w:r>
        <w:r>
          <w:fldChar w:fldCharType="end"/>
        </w:r>
      </w:p>
    </w:sdtContent>
  </w:sdt>
  <w:p w:rsidR="007D3241" w:rsidRDefault="007D32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F8" w:rsidRDefault="00E011F8" w:rsidP="007D3241">
      <w:pPr>
        <w:spacing w:after="0" w:line="240" w:lineRule="auto"/>
      </w:pPr>
      <w:r>
        <w:separator/>
      </w:r>
    </w:p>
  </w:footnote>
  <w:footnote w:type="continuationSeparator" w:id="0">
    <w:p w:rsidR="00E011F8" w:rsidRDefault="00E011F8" w:rsidP="007D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1906"/>
    <w:multiLevelType w:val="hybridMultilevel"/>
    <w:tmpl w:val="80861EC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F4CD6"/>
    <w:multiLevelType w:val="hybridMultilevel"/>
    <w:tmpl w:val="028C053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8509F"/>
    <w:rsid w:val="00154FA9"/>
    <w:rsid w:val="001A13FA"/>
    <w:rsid w:val="004940F0"/>
    <w:rsid w:val="00557987"/>
    <w:rsid w:val="00746950"/>
    <w:rsid w:val="0075433A"/>
    <w:rsid w:val="007C3CCA"/>
    <w:rsid w:val="007D3241"/>
    <w:rsid w:val="0082785A"/>
    <w:rsid w:val="008C1B15"/>
    <w:rsid w:val="00A83071"/>
    <w:rsid w:val="00BF04DB"/>
    <w:rsid w:val="00C36954"/>
    <w:rsid w:val="00C772AE"/>
    <w:rsid w:val="00CF35F2"/>
    <w:rsid w:val="00D94306"/>
    <w:rsid w:val="00DF790A"/>
    <w:rsid w:val="00E011F8"/>
    <w:rsid w:val="00E73CF9"/>
    <w:rsid w:val="00F5211C"/>
    <w:rsid w:val="00F9481E"/>
    <w:rsid w:val="00FA261F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BA44-E859-44D2-B740-37FD698C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66C3461881C81FA823CDB57A8E3AA48E0970ED1B160F4C786D2B325AD10D23E08B63E4B06548EFE8EEA0857JAa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Обижаева Ольга Андреевна</dc:creator>
  <cp:keywords/>
  <dc:description/>
  <cp:lastModifiedBy>Обижаева Ольга Андреевна</cp:lastModifiedBy>
  <cp:revision>2</cp:revision>
  <cp:lastPrinted>2019-01-10T09:19:00Z</cp:lastPrinted>
  <dcterms:created xsi:type="dcterms:W3CDTF">2019-01-10T09:20:00Z</dcterms:created>
  <dcterms:modified xsi:type="dcterms:W3CDTF">2019-01-10T09:20:00Z</dcterms:modified>
</cp:coreProperties>
</file>