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4DB">
        <w:rPr>
          <w:rFonts w:ascii="Times New Roman" w:hAnsi="Times New Roman" w:cs="Times New Roman"/>
          <w:b/>
          <w:sz w:val="24"/>
          <w:szCs w:val="24"/>
        </w:rPr>
        <w:t>касающихся</w:t>
      </w:r>
      <w:proofErr w:type="gramEnd"/>
      <w:r w:rsidRPr="00BF04DB">
        <w:rPr>
          <w:rFonts w:ascii="Times New Roman" w:hAnsi="Times New Roman" w:cs="Times New Roman"/>
          <w:b/>
          <w:sz w:val="24"/>
          <w:szCs w:val="24"/>
        </w:rPr>
        <w:t xml:space="preserve"> деятельности Филиала, изданных (опубликованных) в </w:t>
      </w:r>
      <w:r w:rsidR="00AD4318">
        <w:rPr>
          <w:rFonts w:ascii="Times New Roman" w:hAnsi="Times New Roman" w:cs="Times New Roman"/>
          <w:b/>
          <w:sz w:val="24"/>
          <w:szCs w:val="24"/>
        </w:rPr>
        <w:t>марте</w:t>
      </w:r>
      <w:r w:rsidR="00F835E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F04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1"/>
        <w:gridCol w:w="3030"/>
        <w:gridCol w:w="3676"/>
        <w:gridCol w:w="7754"/>
      </w:tblGrid>
      <w:tr w:rsidR="00BF04DB" w:rsidTr="0000018A">
        <w:tc>
          <w:tcPr>
            <w:tcW w:w="561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BF04DB" w:rsidRDefault="00BF04DB" w:rsidP="0073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3676" w:type="dxa"/>
          </w:tcPr>
          <w:p w:rsidR="00BF04DB" w:rsidRPr="00305F35" w:rsidRDefault="00BF04DB" w:rsidP="0030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Pr="00305F35" w:rsidRDefault="00BF04DB" w:rsidP="0030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7754" w:type="dxa"/>
          </w:tcPr>
          <w:p w:rsidR="00BF04DB" w:rsidRPr="00732B9C" w:rsidRDefault="00BF04DB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04DB" w:rsidTr="0000018A">
        <w:tc>
          <w:tcPr>
            <w:tcW w:w="561" w:type="dxa"/>
          </w:tcPr>
          <w:p w:rsidR="00BF04DB" w:rsidRPr="00E73CF9" w:rsidRDefault="007D3241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F0" w:rsidRPr="00E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75433A" w:rsidRPr="00305F35" w:rsidRDefault="00C107AB" w:rsidP="00732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  <w:p w:rsidR="00E73CF9" w:rsidRPr="00305F35" w:rsidRDefault="00E73CF9" w:rsidP="00732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3CF9" w:rsidRPr="00305F35" w:rsidRDefault="0002325D" w:rsidP="0002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107AB" w:rsidRPr="00305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7AB" w:rsidRPr="00305F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76" w:type="dxa"/>
          </w:tcPr>
          <w:p w:rsidR="00732B9C" w:rsidRDefault="001B4CF5" w:rsidP="0073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2604" w:rsidRPr="00305F35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47F5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</w:t>
            </w:r>
            <w:r w:rsidR="00247F5B">
              <w:rPr>
                <w:rFonts w:ascii="Times New Roman" w:hAnsi="Times New Roman" w:cs="Times New Roman"/>
                <w:sz w:val="24"/>
                <w:szCs w:val="24"/>
              </w:rPr>
              <w:br/>
              <w:t>от 27.03.2019 №</w:t>
            </w:r>
            <w:r w:rsidR="00132604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E73CF9" w:rsidRPr="00305F35" w:rsidRDefault="00732B9C" w:rsidP="0073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04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нового наименования субъекта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2604" w:rsidRPr="00305F35">
              <w:rPr>
                <w:rFonts w:ascii="Times New Roman" w:hAnsi="Times New Roman" w:cs="Times New Roman"/>
                <w:sz w:val="24"/>
                <w:szCs w:val="24"/>
              </w:rPr>
              <w:t>в статью 65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онституции Российской Федерации»</w:t>
            </w:r>
          </w:p>
        </w:tc>
        <w:tc>
          <w:tcPr>
            <w:tcW w:w="7754" w:type="dxa"/>
          </w:tcPr>
          <w:p w:rsidR="00732B9C" w:rsidRDefault="00C107AB" w:rsidP="00732B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Конституцию РФ включено новое наименование субъекта РФ - Кемеровская область </w:t>
            </w:r>
            <w:r w:rsidR="00732B9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Кузбасс</w:t>
            </w:r>
          </w:p>
          <w:p w:rsidR="00C107AB" w:rsidRPr="00732B9C" w:rsidRDefault="00C107AB" w:rsidP="00732B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Данное решение принято в связи с изменением наименования Кемеровской области.</w:t>
            </w:r>
          </w:p>
          <w:p w:rsidR="00BF04DB" w:rsidRPr="00732B9C" w:rsidRDefault="00BF04DB" w:rsidP="005A0DB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85C" w:rsidTr="0000018A">
        <w:tc>
          <w:tcPr>
            <w:tcW w:w="561" w:type="dxa"/>
          </w:tcPr>
          <w:p w:rsidR="00E5085C" w:rsidRPr="00E73CF9" w:rsidRDefault="00F91D42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E5085C" w:rsidRPr="00305F35" w:rsidRDefault="00E5085C" w:rsidP="0073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E5085C" w:rsidRPr="00305F35" w:rsidRDefault="00E5085C" w:rsidP="0073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C" w:rsidRPr="00305F35" w:rsidRDefault="00E5085C" w:rsidP="00E4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76" w:type="dxa"/>
          </w:tcPr>
          <w:p w:rsidR="00732B9C" w:rsidRDefault="001B4CF5" w:rsidP="0073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085C" w:rsidRPr="00305F3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</w:t>
            </w:r>
            <w:r w:rsidR="00247F5B">
              <w:rPr>
                <w:rFonts w:ascii="Times New Roman" w:hAnsi="Times New Roman" w:cs="Times New Roman"/>
                <w:sz w:val="24"/>
                <w:szCs w:val="24"/>
              </w:rPr>
              <w:t>мразвития России от 04.02.2019 №</w:t>
            </w:r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73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85C" w:rsidRPr="00305F35" w:rsidRDefault="00732B9C" w:rsidP="0073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  <w:proofErr w:type="gramEnd"/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участков, утвержденный приказом Минэкономразвити</w:t>
            </w:r>
            <w:r w:rsidR="00006CB6">
              <w:rPr>
                <w:rFonts w:ascii="Times New Roman" w:hAnsi="Times New Roman" w:cs="Times New Roman"/>
                <w:sz w:val="24"/>
                <w:szCs w:val="24"/>
              </w:rPr>
              <w:t>я России от 1 сентября 2014 г. №</w:t>
            </w:r>
            <w:r w:rsidR="00E5085C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85C" w:rsidRPr="00305F35" w:rsidRDefault="00E5085C" w:rsidP="00732B9C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</w:tcPr>
          <w:p w:rsidR="00732B9C" w:rsidRDefault="00E5085C" w:rsidP="00732B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классификатор</w:t>
            </w:r>
            <w:proofErr w:type="gramEnd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 разрешенного использования земельных участков включены новые позиции</w:t>
            </w:r>
            <w:r w:rsidR="00732B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32B9C" w:rsidRDefault="00E5085C" w:rsidP="00732B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частности, появились отдельные коды видов разрешенного использования земельных участков, в том числе для предоставления коммунальных услуг, домов социального обслуживания, оказания услуг связи, общежитий, объектов культурно-досуговой деятельности, цирков и зверинцев, осуществления религиозных обрядов, проведения научных испытаний, проведения азартных игр, заправки транспортных средств, автомобильных моек, ремонта автомобилей, площадок для занятий спортом и др.</w:t>
            </w:r>
            <w:proofErr w:type="gramEnd"/>
          </w:p>
          <w:p w:rsidR="00E5085C" w:rsidRPr="00732B9C" w:rsidRDefault="00E5085C" w:rsidP="00732B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 уточнены описание и детализация отдельных видов разрешенного использования земельных участков.</w:t>
            </w:r>
            <w:proofErr w:type="gramEnd"/>
          </w:p>
        </w:tc>
      </w:tr>
      <w:tr w:rsidR="00F91D42" w:rsidTr="0000018A">
        <w:tc>
          <w:tcPr>
            <w:tcW w:w="561" w:type="dxa"/>
          </w:tcPr>
          <w:p w:rsidR="00F91D42" w:rsidRPr="00C772AE" w:rsidRDefault="00F91D42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:rsidR="005F0F4B" w:rsidRDefault="005F0F4B" w:rsidP="005F0F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  <w:r w:rsidR="009F082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5F0F4B" w:rsidRDefault="005F0F4B" w:rsidP="005F0F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4B" w:rsidRDefault="005F0F4B" w:rsidP="005F0F4B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5F0F4B" w:rsidRDefault="005F0F4B" w:rsidP="005F0F4B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91D42" w:rsidRPr="00305F35" w:rsidRDefault="00F91D42" w:rsidP="005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6" w:type="dxa"/>
          </w:tcPr>
          <w:p w:rsidR="00F91D42" w:rsidRDefault="00F91D42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305F3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D42" w:rsidRDefault="005153FC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06.03.2019 №</w:t>
            </w:r>
            <w:r w:rsidR="00F91D42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22-ФЗ</w:t>
            </w:r>
          </w:p>
          <w:p w:rsidR="00F91D42" w:rsidRDefault="005153FC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D42" w:rsidRPr="00305F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F91D42">
              <w:rPr>
                <w:rFonts w:ascii="Times New Roman" w:hAnsi="Times New Roman" w:cs="Times New Roman"/>
                <w:sz w:val="24"/>
                <w:szCs w:val="24"/>
              </w:rPr>
              <w:t xml:space="preserve"> статью 45 Федерального закона </w:t>
            </w:r>
          </w:p>
          <w:p w:rsidR="00F91D42" w:rsidRPr="00305F35" w:rsidRDefault="00F91D42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1D42" w:rsidRPr="00305F35" w:rsidRDefault="00F91D42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</w:tcPr>
          <w:p w:rsidR="00F91D42" w:rsidRDefault="00F91D42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Субъектам РФ предоставлено право </w:t>
            </w: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</w:t>
            </w:r>
            <w:proofErr w:type="gramEnd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перечень случаев бесплатного предоставления копий кадастровых документов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91D42" w:rsidRDefault="00F91D42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45 Федерального закона от 24.07.2007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221-ФЗ «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паспорта, оценочная и иная хранившаяся по состоянию на 1 января 2013 года в органах и организациях по государственному техническому учету и технической инвентаризации документация об объектах государственного технического учета и технической инвентаризации являются собственностью субъекта РФ, хранение и использование учетно-технической документации относится к полномочиям субъекта 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</w:t>
            </w:r>
            <w:proofErr w:type="gramEnd"/>
          </w:p>
          <w:p w:rsidR="00F91D42" w:rsidRDefault="00F91D42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частью 2 статьи 45 Федерального закона от 24.07.2007 </w:t>
            </w:r>
            <w:r w:rsidR="00D76520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О кадастр</w:t>
            </w:r>
            <w:r w:rsidR="00D76520">
              <w:rPr>
                <w:rFonts w:ascii="Times New Roman" w:hAnsi="Times New Roman" w:cs="Times New Roman"/>
                <w:sz w:val="24"/>
                <w:szCs w:val="24"/>
              </w:rPr>
              <w:t>овой деятельности»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за предоставление копий учетно-технической документации и содержащихся в ней сведений взимается плата, за исключением случаев, установленных федеральными законами.</w:t>
            </w:r>
          </w:p>
          <w:p w:rsidR="00F91D42" w:rsidRDefault="00F91D42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Настоящим Федеральным законом субъектам РФ предоставляется право устанавливать дополнительные (помимо уже установленных) случаи бесплатного предоставления копий учетно-технической документации и содержащихся в ней сведений.</w:t>
            </w:r>
          </w:p>
          <w:p w:rsidR="00F91D42" w:rsidRPr="00732B9C" w:rsidRDefault="00F91D42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документации в сфере кадастровой деятельности </w:t>
            </w: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proofErr w:type="gramEnd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бесплатно не только по запросу органа регистрации прав, но и по запросу других органов государственной власти или органа местного самоуправления.</w:t>
            </w:r>
          </w:p>
        </w:tc>
      </w:tr>
      <w:tr w:rsidR="00F516E9" w:rsidTr="0000018A">
        <w:tc>
          <w:tcPr>
            <w:tcW w:w="561" w:type="dxa"/>
          </w:tcPr>
          <w:p w:rsidR="00F516E9" w:rsidRDefault="00F516E9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0" w:type="dxa"/>
          </w:tcPr>
          <w:p w:rsidR="00F516E9" w:rsidRDefault="00F516E9" w:rsidP="00F516E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F516E9" w:rsidRDefault="00F516E9" w:rsidP="00F516E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E9" w:rsidRPr="00305F35" w:rsidRDefault="00F516E9" w:rsidP="00F516E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3676" w:type="dxa"/>
          </w:tcPr>
          <w:p w:rsidR="00F516E9" w:rsidRDefault="001B4CF5" w:rsidP="0002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16E9" w:rsidRPr="00305F3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516E9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4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26.03.2019 №</w:t>
            </w:r>
            <w:r w:rsidR="00F516E9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319</w:t>
            </w:r>
          </w:p>
          <w:p w:rsidR="00F516E9" w:rsidRPr="00305F35" w:rsidRDefault="00F516E9" w:rsidP="0002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О единой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строительства»</w:t>
            </w:r>
          </w:p>
          <w:p w:rsidR="00F516E9" w:rsidRPr="00305F35" w:rsidRDefault="00F516E9" w:rsidP="0002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</w:tcPr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порядок размещения информации в единой информационной системе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Утверждены:</w:t>
            </w:r>
          </w:p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технологическим, программным, лингвистическим, правовым и организационным средствам обеспечения пользования ЕИСЖС;</w:t>
            </w:r>
          </w:p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взаимодействия Минстроя России, Росреестра, контролирующих органов, Фонда защиты прав граждан - участников долевого строительства, уполномоченных банков и застройщиков при использовании ими информационных ресурсов ЕИСЖС, в том числе личных кабинетов;</w:t>
            </w:r>
          </w:p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хранения и обработки информации, содержащейся в ЕИСЖС;</w:t>
            </w:r>
          </w:p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взаимодействия ЕИСЖС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взаимодействия иных информационных систем с ЕИСЖС, а также единые форматы для информационного взаимодействия иных информационных систем с ЕИСЖС.</w:t>
            </w:r>
          </w:p>
          <w:p w:rsidR="00F516E9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</w:t>
            </w:r>
            <w:proofErr w:type="gramEnd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способы размещения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ЕИСЖС застройщиками, контролирующими органами, Минстроем России, органами государственной власти субъектов РФ, уполномоченными на осуществление государственного строительного надзора, Фондом защиты прав граждан - участников долевого строительства и лицами, которые в соответствии с федеральными законами и иными нормативными правовыми актами обязаны размещать информацию в ЕИСЖС, и перечень информации.</w:t>
            </w:r>
          </w:p>
          <w:p w:rsidR="00F516E9" w:rsidRPr="00732B9C" w:rsidRDefault="00F516E9" w:rsidP="00023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вступает в силу по истечении 2 месяцев со дня его официального опубликования.</w:t>
            </w:r>
          </w:p>
        </w:tc>
      </w:tr>
      <w:tr w:rsidR="00F516E9" w:rsidTr="0000018A">
        <w:tc>
          <w:tcPr>
            <w:tcW w:w="561" w:type="dxa"/>
          </w:tcPr>
          <w:p w:rsidR="00F516E9" w:rsidRDefault="0002325D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0" w:type="dxa"/>
          </w:tcPr>
          <w:p w:rsidR="00E17BF1" w:rsidRDefault="00E17BF1" w:rsidP="001B39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ФС РФ</w:t>
            </w:r>
          </w:p>
          <w:p w:rsidR="00E17BF1" w:rsidRDefault="00E17BF1" w:rsidP="001B39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44" w:rsidRDefault="001B3944" w:rsidP="001B3944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Президентом РФ</w:t>
            </w:r>
          </w:p>
          <w:p w:rsidR="00F516E9" w:rsidRPr="00305F35" w:rsidRDefault="00F516E9" w:rsidP="001B39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516E9" w:rsidRDefault="00F516E9" w:rsidP="001B3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  <w:p w:rsidR="00F516E9" w:rsidRDefault="00F516E9" w:rsidP="001B3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424632-7</w:t>
            </w:r>
          </w:p>
          <w:p w:rsidR="001B3944" w:rsidRDefault="00F516E9" w:rsidP="001B3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первую, вторую и статью 1124 части третьей Гражданского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6E9" w:rsidRPr="00305F35" w:rsidRDefault="00F516E9" w:rsidP="001B394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</w:tcPr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Законопроект о закреплении в гражданском законодательстве цифровых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правами признаются названные в таком качестве в законе обязательственные и иные права, содержание и </w:t>
            </w: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Законопроектом, в частности: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закрепляются положения об обладателях цифровых прав;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предусматривается, что 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волю;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особенности договора об оказании услуг по предоставлению информации (договором, в силу которого исполнитель обязуется совершить действия по предоставлению определенной информации заказчику (договор об оказании услуг по предоставлению информации), может быть предусмотрена обязанность одной из сторон или обеих сторон не совершать в течение определенного периода действий, в результате которых информация может быть раскрыта 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третьим лицам);</w:t>
            </w:r>
            <w:proofErr w:type="gramEnd"/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устанавливается, что договор страхования может быть также заключен путем составления одного электронного документа, подписанного сторонами, или обмена электронными документами либо иными данными;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предусматривается запрет составления завещания с использованием электронных либо иных технических средств.</w:t>
            </w:r>
          </w:p>
          <w:p w:rsidR="00F516E9" w:rsidRPr="00732B9C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Следует иметь </w:t>
            </w: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proofErr w:type="gramEnd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по государственному строительству и законодательству рекомендовал вернуть данный законопроект к процедуре второго чтения с учетом внесенных юридико-технических и лингвистических поправок, а также принять его во втором чтении (с учетом поправок, рекомендованных к принятию) и в третьем чтении.</w:t>
            </w:r>
          </w:p>
        </w:tc>
      </w:tr>
      <w:tr w:rsidR="00F516E9" w:rsidTr="0000018A">
        <w:tc>
          <w:tcPr>
            <w:tcW w:w="561" w:type="dxa"/>
          </w:tcPr>
          <w:p w:rsidR="00F516E9" w:rsidRDefault="0018739B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0" w:type="dxa"/>
          </w:tcPr>
          <w:p w:rsidR="0018739B" w:rsidRDefault="003B7290" w:rsidP="0018739B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18739B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082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18739B" w:rsidRDefault="0018739B" w:rsidP="001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9B" w:rsidRDefault="0018739B" w:rsidP="0018739B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8739B" w:rsidRPr="00305F35" w:rsidRDefault="0018739B" w:rsidP="001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516E9" w:rsidRDefault="001B4CF5" w:rsidP="00305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16E9" w:rsidRPr="00305F3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F516E9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F516E9" w:rsidRPr="00305F35" w:rsidRDefault="00F516E9" w:rsidP="00305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187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в статью 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семей, имеющих детей»</w:t>
            </w:r>
          </w:p>
          <w:p w:rsidR="00F516E9" w:rsidRPr="00305F35" w:rsidRDefault="00F516E9" w:rsidP="00305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</w:tcPr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расширить виды земельных участков, на которых возможно строительство или реконструкция объекта индивидуального жилищного строительства с использованием средств материнского (семейного) капитала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6E9" w:rsidRDefault="00F516E9" w:rsidP="00ED7B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Как отмечают авторы проекта, в настоящее время при распоряжении средствами материнского (семейного) капитала на строительство (реконструкцию) объекта индивидуального жилищного строительства, лицу, получившему государственный сертификат на материнский (семейный) капитал, одновременно с заявлением о распоряжении указанными средствами необходимо представить в числе других необходимых документов копии документов, подтверждающих право собственности на земельный участок, право постоянного (бессрочного) пользования земельным участком, право пожизненного наследуемого владения</w:t>
            </w:r>
            <w:proofErr w:type="gramEnd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земельным участком, право аренды земельного участка либо право безвозмездного пользования земельным участком, предназначенным для индивидуального жилищного строительства, на котором осуществляется строительство (реконструкция) объекта индивидуального жилищного строительства.</w:t>
            </w:r>
            <w:proofErr w:type="gramEnd"/>
          </w:p>
          <w:p w:rsidR="00F516E9" w:rsidRPr="00732B9C" w:rsidRDefault="00F516E9" w:rsidP="000001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Изменениями, предлагаемыми к внесению в статью </w:t>
            </w:r>
            <w:r w:rsidR="00E600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Федерального </w:t>
            </w:r>
            <w:r w:rsidR="00D76520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от 29 декабря 2006 года №</w:t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256-ФЗ </w:t>
            </w:r>
            <w:r w:rsidR="000001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О дополнительных мерах государственной поддержки семей, имеющих детей</w:t>
            </w:r>
            <w:r w:rsidR="000001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закрепляется возможность направления средств материнского </w:t>
            </w: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(семейного) капитала на строительство (реконструкцию) объекта индивидуального жилищного строительства также на садовом земельном участке.</w:t>
            </w:r>
          </w:p>
        </w:tc>
      </w:tr>
      <w:tr w:rsidR="00F516E9" w:rsidTr="0000018A">
        <w:tc>
          <w:tcPr>
            <w:tcW w:w="561" w:type="dxa"/>
          </w:tcPr>
          <w:p w:rsidR="00F516E9" w:rsidRDefault="0000018A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0" w:type="dxa"/>
          </w:tcPr>
          <w:p w:rsidR="00F516E9" w:rsidRPr="00305F35" w:rsidRDefault="00F516E9" w:rsidP="00000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  <w:p w:rsidR="00F516E9" w:rsidRDefault="00F516E9" w:rsidP="00000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018A" w:rsidRDefault="0000018A" w:rsidP="0000018A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00018A" w:rsidRPr="0000018A" w:rsidRDefault="0000018A" w:rsidP="00000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6" w:type="dxa"/>
          </w:tcPr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hyperlink r:id="rId13" w:history="1">
              <w:r w:rsidRPr="00305F35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от 01.03.2019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ИН-06-59/2</w:t>
            </w:r>
            <w:r w:rsidR="00000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О погашении регистрационной записи об ипотеке при полном исполнении гражданином обязательств по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енному ипотекой кредиту (займу)»</w:t>
            </w:r>
          </w:p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</w:tcPr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Банк России обозначил подходы, обеспечивающие возможность незамедлительного осуществления залогодержателями необходимых действий для погашения регистрационных записей об ипотеке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Залогодержатель по исполнении обеспеченного ипотекой обязательства полностью обязан незамедлительно передать документарную закладную залогодателю с отметкой об исполнении обязательства в полном объеме.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Сообщается, что неисполнение залогодержателями обязанности по передаче документарных закладных залогодателям в возможно короткий срок (в случае, если права залогодержателя удостоверены документарной закладной), а также неосуществление ими иных действий, необходимых для погашения регистрационных записей об ипотеке, препятствует распоряжению принадлежащим гражданам недвижимым имуществом и может повлечь возникновение у них дополнительных расходов либо иных неблагоприятных последствий.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Банк России отмечает следующие подходы, применяемые залогодержателями в целях надлежащего исполнения данной обязанности, а также незамедлительного совершения иных действий, необходимых для погашения регистрационных записей об ипотеке: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документарной закладной (в случае, если права залогодержателя удостоверены ею) в подразделении залогодержателя, в котором был выдан или обслуживался обеспеченный ипотекой кредит, к планируемой дате полного погашения задолженности, в том числе к дате, указанной в заявлении на полное досрочное погашение кредита, а также наличия у сотрудников соответствующего подразделения полномочий по проставлению на закладных отметок, свидетельствующих о полном исполнении обязательств</w:t>
            </w:r>
            <w:proofErr w:type="gramEnd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обеспеченным ипотекой кредитам, для незамедлительной передачи документарной закладной залогодателю;</w:t>
            </w:r>
          </w:p>
          <w:p w:rsidR="00F516E9" w:rsidRPr="00732B9C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732B9C">
              <w:rPr>
                <w:rFonts w:ascii="Times New Roman" w:hAnsi="Times New Roman" w:cs="Times New Roman"/>
                <w:sz w:val="24"/>
                <w:szCs w:val="24"/>
              </w:rPr>
              <w:t xml:space="preserve">наделение сотрудников подразделения, в котором был выдан или обслуживался обеспеченный ипотекой кредит, полномочиями по подаче в орган регистрации прав заявлений о погашении регистрационных </w:t>
            </w:r>
            <w:r w:rsidRPr="0073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об ипотеке либо наделение залогодателя полномочиями по подаче такого заявления от имени залогодержателя (без возложения на залогодателя расходов по оформлению полномочий) для обеспечения возможности подачи соответствующего заявления в возможно короткий срок.</w:t>
            </w:r>
            <w:proofErr w:type="gramEnd"/>
          </w:p>
        </w:tc>
      </w:tr>
      <w:tr w:rsidR="00F516E9" w:rsidTr="0000018A">
        <w:tc>
          <w:tcPr>
            <w:tcW w:w="561" w:type="dxa"/>
          </w:tcPr>
          <w:p w:rsidR="00F516E9" w:rsidRDefault="0000018A" w:rsidP="00BF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0" w:type="dxa"/>
          </w:tcPr>
          <w:p w:rsidR="00F516E9" w:rsidRPr="00247F5B" w:rsidRDefault="00F516E9" w:rsidP="00F9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Минстрой</w:t>
            </w:r>
            <w:r w:rsidRPr="00247F5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516E9" w:rsidRPr="00247F5B" w:rsidRDefault="00F516E9" w:rsidP="00F9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E9" w:rsidRDefault="00F516E9" w:rsidP="00F91D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F516E9" w:rsidRDefault="00F516E9" w:rsidP="00F91D42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 не был</w:t>
            </w:r>
          </w:p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6" w:type="dxa"/>
          </w:tcPr>
          <w:p w:rsidR="00F516E9" w:rsidRPr="00305F35" w:rsidRDefault="001B4CF5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16E9" w:rsidRPr="00305F3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F516E9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07.03.2019 </w:t>
            </w:r>
            <w:r w:rsidR="00F51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6E9" w:rsidRPr="00305F35">
              <w:rPr>
                <w:rFonts w:ascii="Times New Roman" w:hAnsi="Times New Roman" w:cs="Times New Roman"/>
                <w:sz w:val="24"/>
                <w:szCs w:val="24"/>
              </w:rPr>
              <w:t xml:space="preserve"> 153/</w:t>
            </w:r>
            <w:proofErr w:type="spellStart"/>
            <w:proofErr w:type="gramStart"/>
            <w:r w:rsidR="00F516E9" w:rsidRPr="00305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F35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проведению работ по формированию земельных участков, на которых расположены многоквартирные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6E9" w:rsidRPr="00305F35" w:rsidRDefault="00F516E9" w:rsidP="00F91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</w:tcPr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 государственной власти и органам местного самоуправления направлены рекомендации по образованию земельных участков, занятых многоквартирными домами и не образованным ранее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В Методических рекомендациях приводится, в частности: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которые необходимо организовать и провести указанным органам в целях формирования земельных участков;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- особенности определения местоположения границ земельных участков, занятых многоквартирными домами;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E9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размера земельного участка;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E9" w:rsidRPr="00732B9C" w:rsidRDefault="00F516E9" w:rsidP="00F91D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- особенности образования земельных участков, на которых расположены многоквартирные дома, признанные аварийными.</w:t>
            </w:r>
          </w:p>
        </w:tc>
      </w:tr>
    </w:tbl>
    <w:p w:rsidR="00BF04DB" w:rsidRP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BF04DB" w:rsidSect="0008509F">
      <w:footerReference w:type="default" r:id="rId15"/>
      <w:pgSz w:w="16838" w:h="11906" w:orient="landscape"/>
      <w:pgMar w:top="851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F5" w:rsidRDefault="001B4CF5" w:rsidP="007D3241">
      <w:pPr>
        <w:spacing w:after="0" w:line="240" w:lineRule="auto"/>
      </w:pPr>
      <w:r>
        <w:separator/>
      </w:r>
    </w:p>
  </w:endnote>
  <w:endnote w:type="continuationSeparator" w:id="0">
    <w:p w:rsidR="001B4CF5" w:rsidRDefault="001B4CF5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91132"/>
      <w:docPartObj>
        <w:docPartGallery w:val="Page Numbers (Bottom of Page)"/>
        <w:docPartUnique/>
      </w:docPartObj>
    </w:sdtPr>
    <w:sdtEndPr/>
    <w:sdtContent>
      <w:p w:rsidR="00E600EE" w:rsidRDefault="00E600E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4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0EE" w:rsidRDefault="00E600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F5" w:rsidRDefault="001B4CF5" w:rsidP="007D3241">
      <w:pPr>
        <w:spacing w:after="0" w:line="240" w:lineRule="auto"/>
      </w:pPr>
      <w:r>
        <w:separator/>
      </w:r>
    </w:p>
  </w:footnote>
  <w:footnote w:type="continuationSeparator" w:id="0">
    <w:p w:rsidR="001B4CF5" w:rsidRDefault="001B4CF5" w:rsidP="007D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B"/>
    <w:rsid w:val="0000018A"/>
    <w:rsid w:val="00006CB6"/>
    <w:rsid w:val="0002325D"/>
    <w:rsid w:val="00032D0B"/>
    <w:rsid w:val="0008509F"/>
    <w:rsid w:val="00132604"/>
    <w:rsid w:val="00154FA9"/>
    <w:rsid w:val="0018739B"/>
    <w:rsid w:val="001A13FA"/>
    <w:rsid w:val="001A5953"/>
    <w:rsid w:val="001B3944"/>
    <w:rsid w:val="001B4CF5"/>
    <w:rsid w:val="00206CB9"/>
    <w:rsid w:val="00244EBE"/>
    <w:rsid w:val="00247F5B"/>
    <w:rsid w:val="002953B6"/>
    <w:rsid w:val="00305F35"/>
    <w:rsid w:val="00315EF5"/>
    <w:rsid w:val="003B7290"/>
    <w:rsid w:val="004940F0"/>
    <w:rsid w:val="00512B52"/>
    <w:rsid w:val="005153FC"/>
    <w:rsid w:val="00557987"/>
    <w:rsid w:val="00565853"/>
    <w:rsid w:val="005A0DB8"/>
    <w:rsid w:val="005F0F4B"/>
    <w:rsid w:val="00732B9C"/>
    <w:rsid w:val="00746950"/>
    <w:rsid w:val="0075433A"/>
    <w:rsid w:val="0076022A"/>
    <w:rsid w:val="007C3CCA"/>
    <w:rsid w:val="007D3241"/>
    <w:rsid w:val="0082785A"/>
    <w:rsid w:val="00842987"/>
    <w:rsid w:val="008C1B15"/>
    <w:rsid w:val="009F0823"/>
    <w:rsid w:val="00A83071"/>
    <w:rsid w:val="00AD4318"/>
    <w:rsid w:val="00B66B41"/>
    <w:rsid w:val="00BF04DB"/>
    <w:rsid w:val="00C107AB"/>
    <w:rsid w:val="00C27724"/>
    <w:rsid w:val="00C36954"/>
    <w:rsid w:val="00C772AE"/>
    <w:rsid w:val="00CF35F2"/>
    <w:rsid w:val="00D4211A"/>
    <w:rsid w:val="00D557E1"/>
    <w:rsid w:val="00D76520"/>
    <w:rsid w:val="00D94306"/>
    <w:rsid w:val="00DA5FD8"/>
    <w:rsid w:val="00DF6483"/>
    <w:rsid w:val="00DF790A"/>
    <w:rsid w:val="00E011F8"/>
    <w:rsid w:val="00E17BF1"/>
    <w:rsid w:val="00E43C97"/>
    <w:rsid w:val="00E5085C"/>
    <w:rsid w:val="00E600EE"/>
    <w:rsid w:val="00E73CF9"/>
    <w:rsid w:val="00ED7BE6"/>
    <w:rsid w:val="00F516E9"/>
    <w:rsid w:val="00F5211C"/>
    <w:rsid w:val="00F835E9"/>
    <w:rsid w:val="00F91D42"/>
    <w:rsid w:val="00F9481E"/>
    <w:rsid w:val="00FA261F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D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D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85E3F42AC394359991A0882C53C65E9D0FE0BDD5C3541FCC3EB042626A8C44D595E05728154ACB982C1B0F0BV5J" TargetMode="External"/><Relationship Id="rId13" Type="http://schemas.openxmlformats.org/officeDocument/2006/relationships/hyperlink" Target="consultantplus://offline/ref=69AC3B982612BFFE0558107A4239B63A8CD359330C861E2A42457752E1A39997DA8B715B511E2EFADFD78BFD39F9Y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4C490BBCA4EC7C53C3CBC770EB2B3275A80B5BE0AB112B71E8085233A6A6AA6586627616B6659753F70DAC92Q0IF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11F3DEE87A4FAE60E12505491FC5473324E30C5782AE632F6827BF02E1BACFCD345C48BC3D944FC97C906E7aAK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DEBC0B9BB72C6C4C5987D8D201AD66F4A1A722EB032A2466AE4A7D1944294E1A15DCCF6BC96F2E45B4C641250U2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EE5197A9DD75085C13EF31C0CAA2FE38873DDAA395FF764CEEC59657D2373B373CD5E89FA3A8D9D35F0695649b6O" TargetMode="External"/><Relationship Id="rId14" Type="http://schemas.openxmlformats.org/officeDocument/2006/relationships/hyperlink" Target="consultantplus://offline/ref=461B6F297A574363F77C37D692CBDB7F09690D0943214FC33FC7DAE769B28644E29F32D9407C5EB66F11AF7E7DRC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Ременюк Кирилл Андреевич</cp:lastModifiedBy>
  <cp:revision>2</cp:revision>
  <cp:lastPrinted>2019-04-05T07:16:00Z</cp:lastPrinted>
  <dcterms:created xsi:type="dcterms:W3CDTF">2019-04-09T08:11:00Z</dcterms:created>
  <dcterms:modified xsi:type="dcterms:W3CDTF">2019-04-09T08:11:00Z</dcterms:modified>
</cp:coreProperties>
</file>