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07" w:rsidRPr="004D5DD9" w:rsidRDefault="00777F07" w:rsidP="00777F07">
      <w:pPr>
        <w:pStyle w:val="1"/>
        <w:tabs>
          <w:tab w:val="left" w:pos="7090"/>
        </w:tabs>
        <w:ind w:left="0" w:firstLine="720"/>
        <w:jc w:val="right"/>
        <w:rPr>
          <w:b/>
          <w:bCs/>
          <w:sz w:val="24"/>
          <w:szCs w:val="24"/>
          <w:lang/>
        </w:rPr>
      </w:pPr>
      <w:r w:rsidRPr="004D5DD9">
        <w:rPr>
          <w:b/>
          <w:bCs/>
          <w:sz w:val="24"/>
          <w:szCs w:val="24"/>
          <w:lang/>
        </w:rPr>
        <w:t>УТВЕРЖДЕНО</w:t>
      </w:r>
    </w:p>
    <w:p w:rsidR="00777F07" w:rsidRDefault="00777F07" w:rsidP="00777F07">
      <w:pPr>
        <w:ind w:firstLine="720"/>
        <w:jc w:val="right"/>
        <w:rPr>
          <w:b/>
          <w:lang/>
        </w:rPr>
      </w:pPr>
      <w:r>
        <w:rPr>
          <w:b/>
          <w:lang/>
        </w:rPr>
        <w:t>Решением Совета Ассоциации СРО «ОПКД»</w:t>
      </w:r>
    </w:p>
    <w:p w:rsidR="00777F07" w:rsidRDefault="00777F07" w:rsidP="00777F07">
      <w:pPr>
        <w:spacing w:after="0"/>
        <w:ind w:firstLine="720"/>
        <w:jc w:val="right"/>
        <w:rPr>
          <w:b/>
          <w:lang/>
        </w:rPr>
      </w:pPr>
      <w:r>
        <w:rPr>
          <w:b/>
          <w:lang/>
        </w:rPr>
        <w:t>Протокол №40 от «30» июня 2016 года.</w:t>
      </w:r>
    </w:p>
    <w:p w:rsidR="00777F07" w:rsidRDefault="00777F07" w:rsidP="00777F07">
      <w:pPr>
        <w:spacing w:after="0" w:line="231" w:lineRule="auto"/>
        <w:ind w:left="667" w:right="677" w:firstLine="3528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Default="00777F07" w:rsidP="00777F07">
      <w:pPr>
        <w:spacing w:after="0" w:line="300" w:lineRule="auto"/>
        <w:ind w:left="669" w:right="675" w:firstLine="3527"/>
        <w:jc w:val="left"/>
        <w:rPr>
          <w:sz w:val="30"/>
        </w:rPr>
      </w:pPr>
    </w:p>
    <w:p w:rsidR="00777F07" w:rsidRPr="00A56169" w:rsidRDefault="00777F07" w:rsidP="00777F07">
      <w:pPr>
        <w:spacing w:after="0" w:line="300" w:lineRule="auto"/>
        <w:ind w:left="0" w:right="0" w:firstLine="0"/>
        <w:jc w:val="center"/>
        <w:rPr>
          <w:b/>
          <w:bCs/>
          <w:color w:val="auto"/>
          <w:sz w:val="30"/>
        </w:rPr>
      </w:pPr>
      <w:r w:rsidRPr="00A56169">
        <w:rPr>
          <w:b/>
          <w:bCs/>
          <w:color w:val="auto"/>
          <w:sz w:val="30"/>
        </w:rPr>
        <w:t>ПОЛОЖЕНИЕ</w:t>
      </w:r>
    </w:p>
    <w:p w:rsidR="00777F07" w:rsidRPr="004D5DD9" w:rsidRDefault="00777F07" w:rsidP="00777F07">
      <w:pPr>
        <w:spacing w:after="0" w:line="300" w:lineRule="auto"/>
        <w:ind w:left="0" w:right="0" w:firstLine="709"/>
        <w:jc w:val="center"/>
        <w:rPr>
          <w:color w:val="auto"/>
        </w:rPr>
      </w:pPr>
      <w:r w:rsidRPr="004D5DD9">
        <w:rPr>
          <w:color w:val="auto"/>
          <w:sz w:val="30"/>
        </w:rPr>
        <w:t>о методической комиссии Ассоциации саморегулируемой организации «Объединение профессионалов кадастровой деятельности»</w:t>
      </w: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  <w:sz w:val="28"/>
        </w:rPr>
      </w:pPr>
    </w:p>
    <w:p w:rsidR="00777F07" w:rsidRPr="004D5DD9" w:rsidRDefault="00777F07" w:rsidP="00777F07">
      <w:pPr>
        <w:spacing w:after="3" w:line="259" w:lineRule="auto"/>
        <w:ind w:left="48" w:right="14" w:hanging="10"/>
        <w:jc w:val="center"/>
        <w:rPr>
          <w:color w:val="auto"/>
        </w:rPr>
      </w:pPr>
      <w:r w:rsidRPr="004D5DD9">
        <w:rPr>
          <w:color w:val="auto"/>
          <w:sz w:val="28"/>
        </w:rPr>
        <w:t>г. Москва, 2016 г.</w:t>
      </w:r>
    </w:p>
    <w:p w:rsidR="00777F07" w:rsidRPr="00A56169" w:rsidRDefault="00777F07" w:rsidP="00777F07">
      <w:pPr>
        <w:pStyle w:val="1"/>
        <w:spacing w:line="360" w:lineRule="auto"/>
        <w:ind w:left="629" w:right="0"/>
        <w:rPr>
          <w:b/>
          <w:bCs/>
          <w:color w:val="auto"/>
        </w:rPr>
      </w:pPr>
      <w:r w:rsidRPr="00A56169">
        <w:rPr>
          <w:b/>
          <w:bCs/>
          <w:color w:val="auto"/>
        </w:rPr>
        <w:lastRenderedPageBreak/>
        <w:t>1. ОБЩИЕ ПОЛОЖЕНИЯ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1.1. Настоящее Положение о Методической комиссии Ассоциации (далее — Положение) разработано в соответствии с законодательством Российской Федерации, законодательством о кадастровой деятельности, на основании Устава Ассоциации саморегулируемой организации («Объединение профессионалов кадастровой деятельности» (далее — Ассоциация) и внутренних документов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1.2. Положение определяет статус, компетенцию, полномочия, порядок формирования и работы Методической комиссии Ассоциации (далее — Методическая комиссия).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1.3. Решение об утверждении Положения, о внесении изменений и дополнений в Положение принимаются на заседании Совета Ассоциации простым большинством голосов.</w:t>
      </w:r>
    </w:p>
    <w:p w:rsidR="00777F07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</w:p>
    <w:p w:rsidR="00777F07" w:rsidRPr="00A56169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  <w:r w:rsidRPr="00A56169">
        <w:rPr>
          <w:b/>
          <w:bCs/>
          <w:color w:val="auto"/>
        </w:rPr>
        <w:t>2. СТАТУС МЕТОДИЧЕСКОЙ КОМИССИИ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2.1. Методическая комиссия Ассоциации является постоянно действующим органом Ассоциации, осуществляющая методическое обеспечение кадастровой деятельности членов Ассоциации, в том числе организацию стажировки и контроль за ее прохождением.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2.2. Методическая комиссия подотчетна Совету Ассоциации, генеральному директору Ассоциации, осуществляет свою деятельность в тесном взаимодействии с другими органами Ассоциации.</w:t>
      </w:r>
    </w:p>
    <w:p w:rsidR="00777F07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</w:p>
    <w:p w:rsidR="00777F07" w:rsidRPr="00A56169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  <w:r w:rsidRPr="00A56169">
        <w:rPr>
          <w:b/>
          <w:bCs/>
          <w:color w:val="auto"/>
        </w:rPr>
        <w:t>З. ПОРЯДОК ФОРМИРОВАНИЯ МЕТОДИЧЕСКОЙ КОМИССИИ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3.1. Количественный и персональный состав Методической комиссии определяется Советом Ассоциации, формируется из состава членов Ассоциации и/или работников Ассоциации, и/или привлекаемых специалистов.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3.2. Председатель Методической комиссии, лицо его заменяющее, назначаются и освобождаются от должности решением Совета Ассоциации. Совет Ассоциации вправе поручить формирование Методической комиссии генеральному директору Ассоциации с последующим утверждением состава Методической комиссии Советом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3.3. Срок полномочий членов Методической комиссии ограничивается сроком полномочий Совета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3.4. Полномочия каждого члена Методической комиссии могут быть пролонгированы неограниченное количество раз.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3.5. Информация о персональном составе Методической комиссии, об изменениях в нем, доводится до сведения членов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3.6. Обеспечение деятельности Методической комиссии возлагается на генерального директора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lastRenderedPageBreak/>
        <w:t>3.7. Председатель Методической комиссии руководит текущей деятельностью Методической комиссии, организует работу Методической комиссии, представляет Методическую комиссию в Совете Ассоциации и других органах Ассоциации.</w:t>
      </w:r>
    </w:p>
    <w:p w:rsidR="00777F07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</w:p>
    <w:p w:rsidR="00777F07" w:rsidRPr="00A56169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  <w:r w:rsidRPr="00A56169">
        <w:rPr>
          <w:b/>
          <w:bCs/>
          <w:color w:val="auto"/>
        </w:rPr>
        <w:t>4.</w:t>
      </w:r>
      <w:r w:rsidRPr="004D5DD9">
        <w:rPr>
          <w:color w:val="auto"/>
        </w:rPr>
        <w:t xml:space="preserve"> </w:t>
      </w:r>
      <w:r w:rsidRPr="00A56169">
        <w:rPr>
          <w:b/>
          <w:bCs/>
          <w:color w:val="auto"/>
        </w:rPr>
        <w:t>КОМПЕТЕНЦИЯ МЕТОДИЧЕСКОЙ КОМИССИИ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4.1. Основной задачей Методической комиссии является обеспечение проведение анализа результатов кадастровой деятельности членов Ассоциации, подготовки предложений по стандартизации кадастровой деятельности, по совершенствованию деятельности Ассоциации, по порядку взаимодействия Ассоциации со своими членами, а также организация и контроль стажировки.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4.2. Предметом деятельности Методической комиссии, являющейся специализированным органом Ассоциации, в рамках методического обеспечения кадастровой деятельности членов Ассоциации, в том числе организацию стажировки и контроль за ее прохождением, являются: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организация взаимодействия по подготовке, переподготовке и повышению квалификации кадастровых инженеров;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организация обмена научной, методической и иной информацией;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организация разработки программ и учебно-методического обеспечения по подготовке, переподготовке и повышению квалификации кадастровых инженеров;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проведения анализа результатов кадастровой деятельности членов Ассоциации;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подготовка предложений по стандартизации кадастровой деятельности;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подготовка предложений по совершенствованию деятельности Ассоциации, по порядку взаимодействия Ассоциации с членами Ассоциации;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организация и осуществление контроля за прохождением физическими лицами стажировки в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4.3. В целях достижения поставленных целей Методическая комиссия осуществляет следующую деятельность: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разрабатывает программы подготовки, переподготовки и повышения квалификации кадастровых инженеров;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организует обучение кадастровых инженеров, руководителей юридических лиц, являющихся работодателями кадастровых инженеров, по утвержденным программам;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разрабатывает учебно-методическое обеспечение (учебные и календарные планы, программы дисциплин и др.) для системы переподготовки и повышения квалификации кадастровых инженеров;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участвует в организации экспертиз и научно-исследовательских работ в области кадастровой деятельности;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организует прохождение стажировки физическими лицами в Ассоциации;</w:t>
      </w:r>
    </w:p>
    <w:p w:rsidR="00777F07" w:rsidRPr="004D5DD9" w:rsidRDefault="00777F07" w:rsidP="00777F07">
      <w:pPr>
        <w:numPr>
          <w:ilvl w:val="0"/>
          <w:numId w:val="1"/>
        </w:num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lastRenderedPageBreak/>
        <w:t>осуществляет контроль за прохождением физическими лицами стажировки в Ассоциации.</w:t>
      </w:r>
    </w:p>
    <w:p w:rsidR="00777F07" w:rsidRDefault="00777F07" w:rsidP="00777F07">
      <w:pPr>
        <w:spacing w:after="0" w:line="360" w:lineRule="auto"/>
        <w:ind w:left="0" w:right="0" w:firstLine="709"/>
        <w:jc w:val="left"/>
        <w:rPr>
          <w:b/>
          <w:bCs/>
          <w:color w:val="auto"/>
          <w:sz w:val="28"/>
        </w:rPr>
      </w:pPr>
    </w:p>
    <w:p w:rsidR="00777F07" w:rsidRPr="00A56169" w:rsidRDefault="00777F07" w:rsidP="00777F07">
      <w:pPr>
        <w:spacing w:after="0" w:line="360" w:lineRule="auto"/>
        <w:ind w:left="0" w:right="0" w:firstLine="0"/>
        <w:jc w:val="center"/>
        <w:rPr>
          <w:b/>
          <w:bCs/>
          <w:color w:val="auto"/>
        </w:rPr>
      </w:pPr>
      <w:r w:rsidRPr="00A56169">
        <w:rPr>
          <w:b/>
          <w:bCs/>
          <w:color w:val="auto"/>
          <w:sz w:val="28"/>
        </w:rPr>
        <w:t>5. СТАЖИРОВКА ФИЗИЧЕСКИХ ЛИЦ В ДОЛЖНОСТИ ПОМОЩНИКОВ</w:t>
      </w:r>
      <w:r>
        <w:rPr>
          <w:b/>
          <w:bCs/>
          <w:color w:val="auto"/>
          <w:sz w:val="28"/>
        </w:rPr>
        <w:t xml:space="preserve"> </w:t>
      </w:r>
      <w:r w:rsidRPr="00A56169">
        <w:rPr>
          <w:b/>
          <w:bCs/>
          <w:color w:val="auto"/>
          <w:sz w:val="28"/>
        </w:rPr>
        <w:t>КАДАСТРОВЫХ ИНЖЕНЕРОВ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5.1. Организация прохождения физическими лицами стажировки в Ассоциации осуществляется Методической комиссией в соответствии с правилами стажировки, установленными национальным объединением по согласованию с органом нормативно-правового регулирования в сфере кадастровых отношений.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>
        <w:rPr>
          <w:color w:val="auto"/>
        </w:rPr>
        <w:t xml:space="preserve">5.2 </w:t>
      </w:r>
      <w:r w:rsidRPr="004D5DD9">
        <w:rPr>
          <w:color w:val="auto"/>
        </w:rPr>
        <w:t xml:space="preserve">Методическая комиссия обеспечивает назначение руководителя стажировки в срок не более чем 20 (двадцать) рабочих дней с даты поступления в Ассоциацию заявления физического лица о прохождении стажировки и документов, установленных правилами стажировки и, в срок не более 5 (пяти) рабочих дней с даты назначения руководителя стажировки направляет в национальное объединение информацию о физическом лице, принятом для прохождения стажировки, а также размещает указанную информацию на своем официальном сайте в информационно-телекоммуникационной сети («Интернет». Руководитель стажировки назначается Ассоциацией из числа членов Ассоциации, имеющих опыт работы кадастровым инженером не менее 2 (двух) лет и не имеющих дисциплинарных взысканий за последние 2 (два) года. Стажировка осуществляется на основании трудового договора, заключенного физическим лицом, принятым для прохождения стажировки с юридическим лицом, которое указано в статье 33 Федерального закона от 24.07.2007 г. </w:t>
      </w:r>
      <w:r>
        <w:rPr>
          <w:color w:val="auto"/>
        </w:rPr>
        <w:t>№</w:t>
      </w:r>
      <w:r w:rsidRPr="004D5DD9">
        <w:rPr>
          <w:color w:val="auto"/>
        </w:rPr>
        <w:t xml:space="preserve">221-ФЗ </w:t>
      </w:r>
      <w:r>
        <w:rPr>
          <w:color w:val="auto"/>
        </w:rPr>
        <w:t>«</w:t>
      </w:r>
      <w:r w:rsidRPr="004D5DD9">
        <w:rPr>
          <w:color w:val="auto"/>
        </w:rPr>
        <w:t>О государственном кадастре недвижимости», работником которого является кадастровый инженер руководитель стажировки или с кадастровым инженером - индивидуальным предпринимателем. Стажировка осуществляется на основании программы стажировки, разработанной руководителем стажировки и у</w:t>
      </w:r>
      <w:r>
        <w:rPr>
          <w:color w:val="auto"/>
        </w:rPr>
        <w:t>т</w:t>
      </w:r>
      <w:r w:rsidRPr="004D5DD9">
        <w:rPr>
          <w:color w:val="auto"/>
        </w:rPr>
        <w:t>вержденной Ассоциацией, в соответствии с правилами стажировки. Отказ Ассоциации в приеме физического лица для прохождения стажировки может быть обжалован в суд в порядке, установленном законодательством Российской Федерации об административном судопроизводстве.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>
        <w:rPr>
          <w:color w:val="auto"/>
        </w:rPr>
        <w:t xml:space="preserve">5.3. </w:t>
      </w:r>
      <w:r w:rsidRPr="004D5DD9">
        <w:rPr>
          <w:color w:val="auto"/>
        </w:rPr>
        <w:t>Контроль за прохождением стажировки, в том числе за освоением программы стажировки, осуществляют руководитель стажировки и Ассоциация, в соответствии с правилами стажировки. По результатам прохождения физическим лицом стажировки руководитель стажировки составляет заключение об итогах стажировки и представляет его в Ассоциацию на утверждение. Ассоциация у</w:t>
      </w:r>
      <w:r>
        <w:rPr>
          <w:color w:val="auto"/>
        </w:rPr>
        <w:t>т</w:t>
      </w:r>
      <w:r w:rsidRPr="004D5DD9">
        <w:rPr>
          <w:color w:val="auto"/>
        </w:rPr>
        <w:t>верждае</w:t>
      </w:r>
      <w:r>
        <w:rPr>
          <w:color w:val="auto"/>
        </w:rPr>
        <w:t>т</w:t>
      </w:r>
      <w:r w:rsidRPr="004D5DD9">
        <w:rPr>
          <w:color w:val="auto"/>
        </w:rPr>
        <w:t xml:space="preserve"> заключение об итогах стажировки либо мотивированно отказывает в его у</w:t>
      </w:r>
      <w:r>
        <w:rPr>
          <w:color w:val="auto"/>
        </w:rPr>
        <w:t>т</w:t>
      </w:r>
      <w:r w:rsidRPr="004D5DD9">
        <w:rPr>
          <w:color w:val="auto"/>
        </w:rPr>
        <w:t>верждении в срок не более чем 15 (пятнадцать) рабочих дней со дня поступления соответствующего заключения. При этом физическое лицо считается прошедшим стажировку со дня утверждения указанного заключения. Ассоциация в течение 1 (одного)</w:t>
      </w:r>
      <w:bookmarkStart w:id="0" w:name="_GoBack"/>
      <w:bookmarkEnd w:id="0"/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lastRenderedPageBreak/>
        <w:t>рабочего дня со дня утверждения указанного заключения выдает копию заключения об итогах стажировки физическому лицу, прошедшему стажировку, а также направляет сведения об итогах стажировки в национальное объединение.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>
        <w:rPr>
          <w:color w:val="auto"/>
        </w:rPr>
        <w:t xml:space="preserve">5.4. </w:t>
      </w:r>
      <w:r w:rsidRPr="004D5DD9">
        <w:rPr>
          <w:color w:val="auto"/>
        </w:rPr>
        <w:t>Мотивированный отказ в у</w:t>
      </w:r>
      <w:r>
        <w:rPr>
          <w:color w:val="auto"/>
        </w:rPr>
        <w:t>т</w:t>
      </w:r>
      <w:r w:rsidRPr="004D5DD9">
        <w:rPr>
          <w:color w:val="auto"/>
        </w:rPr>
        <w:t>верждени</w:t>
      </w:r>
      <w:r>
        <w:rPr>
          <w:color w:val="auto"/>
        </w:rPr>
        <w:t>и</w:t>
      </w:r>
      <w:r w:rsidRPr="004D5DD9">
        <w:rPr>
          <w:color w:val="auto"/>
        </w:rPr>
        <w:t xml:space="preserve"> заключения об итогах стажировки в письменной форме направляется физическому лицу, не прошедшему стажировку, в срок не более чем 20 (двадцать) рабочих дней со дня поступления данного заключения на утверждение. Такой отказ может быть обжалован в суд в порядке, установленном законодательством Российской Федерации </w:t>
      </w:r>
      <w:r w:rsidRPr="00A56169">
        <w:rPr>
          <w:noProof/>
          <w:color w:val="auto"/>
        </w:rPr>
        <w:drawing>
          <wp:inline distT="0" distB="0" distL="0" distR="0">
            <wp:extent cx="5715" cy="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DD9">
        <w:rPr>
          <w:color w:val="auto"/>
        </w:rPr>
        <w:t>об административном судопроизводстве.</w:t>
      </w:r>
    </w:p>
    <w:p w:rsidR="00777F07" w:rsidRPr="004D5DD9" w:rsidRDefault="00777F07" w:rsidP="00777F07">
      <w:pPr>
        <w:spacing w:after="0" w:line="360" w:lineRule="auto"/>
        <w:ind w:left="79" w:right="0" w:firstLine="709"/>
        <w:rPr>
          <w:color w:val="auto"/>
        </w:rPr>
      </w:pPr>
      <w:r>
        <w:rPr>
          <w:color w:val="auto"/>
        </w:rPr>
        <w:t xml:space="preserve">5.5 </w:t>
      </w:r>
      <w:r w:rsidRPr="004D5DD9">
        <w:rPr>
          <w:color w:val="auto"/>
        </w:rPr>
        <w:t>Физическое лицо, не прошедшее стажировку, вновь допускается к прохождению стажировки на общих основаниях.</w:t>
      </w:r>
    </w:p>
    <w:p w:rsidR="00777F07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</w:p>
    <w:p w:rsidR="00777F07" w:rsidRPr="00A56169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  <w:r w:rsidRPr="00A56169">
        <w:rPr>
          <w:b/>
          <w:bCs/>
          <w:color w:val="auto"/>
        </w:rPr>
        <w:t>6. ПОРЯДОК РАБОТЫ МЕТОДИЧЕСКОЙ КОМИССИИ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6.1. Работа Методической комиссии осуществляется в форме проведения заседаний.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6.2. Заседания Методической комиссии проводятся по мере необходимости. Заседание Методической комиссии может быть созвано по инициативе Председателя Методической комиссии, его заместителя или генерального директора Ассоциации по согласованию с Председателем Совета Ассоциации.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6.3. Созыв заседания Методической комиссией осуществляется путем уведомления каждого члена Методической комиссии одним из средств связи: почтовой связью, телекоммуникационными средствами связи, не позднее, чем за З (три) дня до даты проведения заседания Методической комиссии.</w:t>
      </w:r>
    </w:p>
    <w:p w:rsidR="00777F07" w:rsidRPr="004D5DD9" w:rsidRDefault="00777F07" w:rsidP="00777F07">
      <w:pPr>
        <w:spacing w:after="0" w:line="360" w:lineRule="auto"/>
        <w:ind w:left="0" w:right="0" w:firstLine="709"/>
        <w:rPr>
          <w:color w:val="auto"/>
        </w:rPr>
      </w:pPr>
      <w:r w:rsidRPr="004D5DD9">
        <w:rPr>
          <w:color w:val="auto"/>
        </w:rPr>
        <w:t>6.4. Заседание Методической комиссии правомочно, если в нем принимает участие более половины членов Методической комиссии.</w:t>
      </w:r>
    </w:p>
    <w:p w:rsidR="00777F07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</w:p>
    <w:p w:rsidR="00777F07" w:rsidRPr="00A56169" w:rsidRDefault="00777F07" w:rsidP="00777F07">
      <w:pPr>
        <w:pStyle w:val="1"/>
        <w:spacing w:line="360" w:lineRule="auto"/>
        <w:ind w:left="0" w:right="0" w:firstLine="709"/>
        <w:rPr>
          <w:b/>
          <w:bCs/>
          <w:color w:val="auto"/>
        </w:rPr>
      </w:pPr>
      <w:r w:rsidRPr="00A56169">
        <w:rPr>
          <w:b/>
          <w:bCs/>
          <w:color w:val="auto"/>
        </w:rPr>
        <w:t>7. ЗАКЛЮЧИТЕЛЬНЫЕ ПОЛОЖЕНИЯ</w:t>
      </w:r>
    </w:p>
    <w:p w:rsidR="00777F07" w:rsidRDefault="00777F07" w:rsidP="00777F07">
      <w:pPr>
        <w:spacing w:after="0" w:line="360" w:lineRule="auto"/>
        <w:ind w:left="0" w:right="0" w:firstLine="709"/>
      </w:pPr>
      <w:r w:rsidRPr="004D5DD9">
        <w:rPr>
          <w:color w:val="auto"/>
        </w:rPr>
        <w:t>Все вопросы, не урегулированные настоящим Положение, регулируются законодательством Российской Федерации и внутренними документами Ас</w:t>
      </w:r>
      <w:r>
        <w:t>социации.</w:t>
      </w:r>
    </w:p>
    <w:p w:rsidR="006D7B15" w:rsidRDefault="006D7B15"/>
    <w:sectPr w:rsidR="006D7B15">
      <w:footerReference w:type="even" r:id="rId8"/>
      <w:footerReference w:type="default" r:id="rId9"/>
      <w:footerReference w:type="first" r:id="rId10"/>
      <w:pgSz w:w="11920" w:h="16840"/>
      <w:pgMar w:top="518" w:right="485" w:bottom="906" w:left="10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4F" w:rsidRDefault="00EE454F" w:rsidP="00777F07">
      <w:pPr>
        <w:spacing w:after="0" w:line="240" w:lineRule="auto"/>
      </w:pPr>
      <w:r>
        <w:separator/>
      </w:r>
    </w:p>
  </w:endnote>
  <w:endnote w:type="continuationSeparator" w:id="0">
    <w:p w:rsidR="00EE454F" w:rsidRDefault="00EE454F" w:rsidP="0077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7F" w:rsidRDefault="00EE454F">
    <w:pPr>
      <w:spacing w:after="0" w:line="259" w:lineRule="auto"/>
      <w:ind w:left="0" w:right="168" w:firstLine="0"/>
      <w:jc w:val="right"/>
    </w:pPr>
    <w:r>
      <w:rPr>
        <w:sz w:val="18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7F" w:rsidRDefault="00EE454F">
    <w:pPr>
      <w:spacing w:after="0" w:line="259" w:lineRule="auto"/>
      <w:ind w:left="0" w:right="168" w:firstLine="0"/>
      <w:jc w:val="right"/>
    </w:pPr>
    <w:r>
      <w:rPr>
        <w:sz w:val="18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7F" w:rsidRDefault="00EE45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4F" w:rsidRDefault="00EE454F" w:rsidP="00777F07">
      <w:pPr>
        <w:spacing w:after="0" w:line="240" w:lineRule="auto"/>
      </w:pPr>
      <w:r>
        <w:separator/>
      </w:r>
    </w:p>
  </w:footnote>
  <w:footnote w:type="continuationSeparator" w:id="0">
    <w:p w:rsidR="00EE454F" w:rsidRDefault="00EE454F" w:rsidP="0077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47D1"/>
    <w:multiLevelType w:val="hybridMultilevel"/>
    <w:tmpl w:val="B24454AA"/>
    <w:lvl w:ilvl="0" w:tplc="5762AC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F6F97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EDF9A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E8CC1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22C83E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54A32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6285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76D62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2E525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07"/>
    <w:rsid w:val="006D7B15"/>
    <w:rsid w:val="00777F07"/>
    <w:rsid w:val="00E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21F2-0506-4522-9AB9-DA51A0C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F07"/>
    <w:pPr>
      <w:spacing w:after="5" w:line="249" w:lineRule="auto"/>
      <w:ind w:left="82" w:right="58"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777F07"/>
    <w:pPr>
      <w:keepNext/>
      <w:keepLines/>
      <w:spacing w:after="0"/>
      <w:ind w:left="5372" w:right="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F07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header"/>
    <w:basedOn w:val="a"/>
    <w:link w:val="a4"/>
    <w:uiPriority w:val="99"/>
    <w:unhideWhenUsed/>
    <w:rsid w:val="0077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F0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ОПКД</dc:creator>
  <cp:keywords/>
  <dc:description/>
  <cp:lastModifiedBy>СРО ОПКД</cp:lastModifiedBy>
  <cp:revision>1</cp:revision>
  <dcterms:created xsi:type="dcterms:W3CDTF">2019-09-19T12:29:00Z</dcterms:created>
  <dcterms:modified xsi:type="dcterms:W3CDTF">2019-09-19T12:30:00Z</dcterms:modified>
</cp:coreProperties>
</file>