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CA568" w14:textId="77777777" w:rsidR="00B82F8B" w:rsidRDefault="00000000">
      <w:pPr>
        <w:spacing w:line="265" w:lineRule="auto"/>
        <w:ind w:left="10" w:right="71" w:hanging="10"/>
        <w:jc w:val="right"/>
      </w:pPr>
      <w:r>
        <w:rPr>
          <w:sz w:val="26"/>
        </w:rPr>
        <w:t>УТВЕРЖДЕНО</w:t>
      </w:r>
    </w:p>
    <w:p w14:paraId="37B23B9B" w14:textId="77777777" w:rsidR="00B82F8B" w:rsidRDefault="00000000">
      <w:pPr>
        <w:spacing w:line="265" w:lineRule="auto"/>
        <w:ind w:left="10" w:right="71" w:hanging="10"/>
        <w:jc w:val="right"/>
      </w:pPr>
      <w:r>
        <w:rPr>
          <w:sz w:val="26"/>
        </w:rPr>
        <w:t>Решением Совета СРО НП «ОПКД»</w:t>
      </w:r>
    </w:p>
    <w:p w14:paraId="4BA58552" w14:textId="77777777" w:rsidR="00B82F8B" w:rsidRDefault="00000000">
      <w:pPr>
        <w:spacing w:after="217" w:line="259" w:lineRule="auto"/>
        <w:ind w:left="10" w:right="71" w:hanging="10"/>
        <w:jc w:val="right"/>
      </w:pPr>
      <w:r>
        <w:t>Протокол N2 02/01 от «21» января 2014 года</w:t>
      </w:r>
    </w:p>
    <w:p w14:paraId="27F876BA" w14:textId="77777777" w:rsidR="00B82F8B" w:rsidRDefault="00000000">
      <w:pPr>
        <w:spacing w:line="265" w:lineRule="auto"/>
        <w:ind w:left="10" w:right="71" w:hanging="10"/>
        <w:jc w:val="right"/>
      </w:pPr>
      <w:r>
        <w:rPr>
          <w:sz w:val="26"/>
        </w:rPr>
        <w:t>ВНЕСЕНЫ ИЗМЕНЕНИЯ</w:t>
      </w:r>
    </w:p>
    <w:p w14:paraId="01EF928B" w14:textId="77777777" w:rsidR="00B82F8B" w:rsidRDefault="00000000">
      <w:pPr>
        <w:spacing w:line="265" w:lineRule="auto"/>
        <w:ind w:left="10" w:right="71" w:hanging="10"/>
        <w:jc w:val="right"/>
      </w:pPr>
      <w:r>
        <w:rPr>
          <w:sz w:val="26"/>
        </w:rPr>
        <w:t>Решением Совета Ассоциации СРО «ОПКД»</w:t>
      </w:r>
    </w:p>
    <w:p w14:paraId="5ED59139" w14:textId="77777777" w:rsidR="00B82F8B" w:rsidRDefault="00000000">
      <w:pPr>
        <w:spacing w:after="5397" w:line="265" w:lineRule="auto"/>
        <w:ind w:left="10" w:right="71" w:hanging="10"/>
        <w:jc w:val="right"/>
      </w:pPr>
      <w:r>
        <w:rPr>
          <w:sz w:val="26"/>
        </w:rPr>
        <w:t>(Протокол 41/07 от «26» июля 2016 года)</w:t>
      </w:r>
    </w:p>
    <w:p w14:paraId="4231106D" w14:textId="77777777" w:rsidR="00B82F8B" w:rsidRDefault="00000000">
      <w:pPr>
        <w:spacing w:line="262" w:lineRule="auto"/>
        <w:ind w:left="4130" w:right="0" w:hanging="10"/>
        <w:jc w:val="left"/>
      </w:pPr>
      <w:r>
        <w:rPr>
          <w:sz w:val="26"/>
        </w:rPr>
        <w:t>ПОЛОЖЕНИЕ</w:t>
      </w:r>
    </w:p>
    <w:p w14:paraId="6F4FF279" w14:textId="77777777" w:rsidR="00B82F8B" w:rsidRDefault="00000000">
      <w:pPr>
        <w:spacing w:line="262" w:lineRule="auto"/>
        <w:ind w:left="3085" w:right="0" w:hanging="10"/>
        <w:jc w:val="left"/>
      </w:pPr>
      <w:r>
        <w:rPr>
          <w:sz w:val="26"/>
        </w:rPr>
        <w:t>О РАСКРЫТИИ ИНФОРМАЦИИ</w:t>
      </w:r>
    </w:p>
    <w:p w14:paraId="6915F3BB" w14:textId="77777777" w:rsidR="00B82F8B" w:rsidRDefault="00000000">
      <w:pPr>
        <w:spacing w:after="0" w:line="265" w:lineRule="auto"/>
        <w:ind w:left="2077" w:right="0" w:hanging="10"/>
        <w:jc w:val="left"/>
      </w:pPr>
      <w:r>
        <w:rPr>
          <w:sz w:val="30"/>
        </w:rPr>
        <w:t>Ассоциации Саморегулируемой организации</w:t>
      </w:r>
    </w:p>
    <w:p w14:paraId="0A343CCE" w14:textId="0E1B6E6D" w:rsidR="00B82F8B" w:rsidRDefault="00000000">
      <w:pPr>
        <w:spacing w:after="4785" w:line="265" w:lineRule="auto"/>
        <w:ind w:left="1140" w:right="0" w:hanging="10"/>
        <w:jc w:val="left"/>
      </w:pPr>
      <w:r>
        <w:rPr>
          <w:sz w:val="30"/>
        </w:rPr>
        <w:t>«Объединение профессионалов кадастровой деятельности»</w:t>
      </w:r>
    </w:p>
    <w:p w14:paraId="110D6595" w14:textId="7C838CAE" w:rsidR="00B82F8B" w:rsidRDefault="00B82F8B">
      <w:pPr>
        <w:spacing w:after="39" w:line="259" w:lineRule="auto"/>
        <w:ind w:left="4026" w:right="0" w:firstLine="0"/>
        <w:jc w:val="left"/>
      </w:pPr>
    </w:p>
    <w:p w14:paraId="49FEC830" w14:textId="77777777" w:rsidR="00B82F8B" w:rsidRDefault="00000000">
      <w:pPr>
        <w:spacing w:line="262" w:lineRule="auto"/>
        <w:ind w:left="4058" w:right="0" w:hanging="10"/>
        <w:jc w:val="left"/>
      </w:pPr>
      <w:r>
        <w:rPr>
          <w:sz w:val="26"/>
        </w:rPr>
        <w:t>г. Москва 2016 г.</w:t>
      </w:r>
    </w:p>
    <w:p w14:paraId="4E52C915" w14:textId="77777777" w:rsidR="00B82F8B" w:rsidRDefault="00000000">
      <w:pPr>
        <w:pStyle w:val="1"/>
        <w:spacing w:after="238"/>
        <w:ind w:left="223" w:right="58" w:hanging="223"/>
      </w:pPr>
      <w:r>
        <w:lastRenderedPageBreak/>
        <w:t>ОБЩИЕ ПОЛОЖЕНИЯ</w:t>
      </w:r>
    </w:p>
    <w:p w14:paraId="58F8F6D4" w14:textId="77777777" w:rsidR="00B82F8B" w:rsidRDefault="00000000">
      <w:pPr>
        <w:ind w:left="35" w:right="64"/>
      </w:pPr>
      <w:r>
        <w:t>1.1. Настоящее Положение о раскрытии информации Ассоциации Саморегулируемой организации «Объединение профессионалов кадастровой деятельности» (далее по тексту — Положение) разработано в соответствии с Федеральным законом от 01 декабря 2007 года N2 315-ФЗ «О саморегулируемых организациях», Федеральным законом N2 315-ФЗ от 01.12.2007 «О саморегулируемых организациях», Федеральным законом от 24.07.2007 N2 221-ФЗ «О кадастровой деятельности» (далее — Закон о кадастровой деятельности), Федеральным законом N2 152-ФЗ от 27.07.2006 «О персональных данных», Приказом Министерства экономического развития Российской Федерации N2 803 от 31.12.2013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требованиях к технологическим, программным, лингвистическим средствам обеспечения пользования официальными сайтами таких саморегулируемых организаций», Приказом Министерства экономического развития Российской Федерации от 30.06.2016 г. N2 419 «Об утверждении дополнительных требований к составу сведений, включаемых в реестр членов саморегулируемой организации кадастровых инженеров,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«Интернет»,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лице, принятом в члены саморегулируемой организации кадастровых инженеров, а также объема,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изменений», иными нормативными правовыми актами Российской Федерации, Уставом Ассоциации Саморегулируемой организации «Объединение профессионалов кадастровой деятельности» (далее по тексту — Ассоциация) иными внутренними документами Ассоциации.</w:t>
      </w:r>
    </w:p>
    <w:p w14:paraId="622218CD" w14:textId="77777777" w:rsidR="00B82F8B" w:rsidRDefault="00000000">
      <w:pPr>
        <w:ind w:left="115" w:right="64"/>
      </w:pPr>
      <w:r>
        <w:t>1.2. Настоящее положение разработано с целью обеспечения информационной открытости деятельности Ассоциации и деятельности членов Ассоциации в объёме, определяемом федеральными законами и внутренними документами Ассоциации.</w:t>
      </w:r>
    </w:p>
    <w:p w14:paraId="511E5EFE" w14:textId="77777777" w:rsidR="00B82F8B" w:rsidRDefault="00000000">
      <w:pPr>
        <w:numPr>
          <w:ilvl w:val="0"/>
          <w:numId w:val="1"/>
        </w:numPr>
        <w:spacing w:after="0" w:line="253" w:lineRule="auto"/>
        <w:ind w:right="0" w:firstLine="861"/>
        <w:jc w:val="left"/>
      </w:pPr>
      <w:proofErr w:type="gramStart"/>
      <w:r>
        <w:t>.З.</w:t>
      </w:r>
      <w:proofErr w:type="gramEnd"/>
      <w:r>
        <w:t xml:space="preserve"> Раскрытие информации о деятельности Ассоциации и её членов осуществляется путем её размещения на официальном сайте Ассоциации www.profcadastre.ru в информационно-телекоммуникационной сети ”Интернет” .</w:t>
      </w:r>
    </w:p>
    <w:p w14:paraId="152F0D0B" w14:textId="77777777" w:rsidR="00B82F8B" w:rsidRDefault="00000000">
      <w:pPr>
        <w:spacing w:after="327"/>
        <w:ind w:left="122" w:right="0"/>
      </w:pPr>
      <w:r>
        <w:t>1.4. При опубликовании информации на своем официальном сайте Ассоциация обеспечивает свободный доступ к такой информации, а также сообщает по требованию заинтересованных лиц адреса страниц, на которых осуществляется опубликование информации.</w:t>
      </w:r>
    </w:p>
    <w:p w14:paraId="49141F82" w14:textId="77777777" w:rsidR="00B82F8B" w:rsidRDefault="00000000">
      <w:pPr>
        <w:spacing w:after="363" w:line="262" w:lineRule="auto"/>
        <w:ind w:left="1537" w:right="0" w:hanging="10"/>
        <w:jc w:val="left"/>
      </w:pPr>
      <w:r>
        <w:rPr>
          <w:sz w:val="26"/>
        </w:rPr>
        <w:t>2. ИНФОРМАЦИЯ И ДОКУМЕНТЫ, ПОДЛЕЖАЩИЕ РАСКРЫТИЮ</w:t>
      </w:r>
    </w:p>
    <w:p w14:paraId="2409A721" w14:textId="77777777" w:rsidR="00B82F8B" w:rsidRDefault="00000000">
      <w:pPr>
        <w:spacing w:after="269" w:line="259" w:lineRule="auto"/>
        <w:ind w:left="965" w:right="64" w:firstLine="0"/>
      </w:pPr>
      <w:r>
        <w:t>2.1. Ассоциация обязана размещать на своем официальном сайте:</w:t>
      </w:r>
    </w:p>
    <w:p w14:paraId="215D5BDB" w14:textId="77777777" w:rsidR="00B82F8B" w:rsidRDefault="00000000">
      <w:pPr>
        <w:spacing w:line="265" w:lineRule="auto"/>
        <w:ind w:left="10" w:right="0" w:hanging="10"/>
        <w:jc w:val="right"/>
      </w:pPr>
      <w:r>
        <w:rPr>
          <w:sz w:val="26"/>
        </w:rPr>
        <w:t>2</w:t>
      </w:r>
    </w:p>
    <w:p w14:paraId="1599A33F" w14:textId="77777777" w:rsidR="00B82F8B" w:rsidRDefault="00000000">
      <w:pPr>
        <w:numPr>
          <w:ilvl w:val="0"/>
          <w:numId w:val="2"/>
        </w:numPr>
        <w:ind w:right="64"/>
      </w:pPr>
      <w:r>
        <w:t>сведения, содержащиеся в реестре членов Ассоциации, в том числе сведения о лицах, прекративших свое членство в Ассоциации, в соответствии с требованиями, установленными федеральными законами, нормативными правовыми актами Российской Федерации, уставом и внутренними документами Ассоциации;</w:t>
      </w:r>
    </w:p>
    <w:p w14:paraId="421874B0" w14:textId="77777777" w:rsidR="00B82F8B" w:rsidRDefault="00000000">
      <w:pPr>
        <w:numPr>
          <w:ilvl w:val="0"/>
          <w:numId w:val="2"/>
        </w:numPr>
        <w:ind w:right="64"/>
      </w:pPr>
      <w:r>
        <w:t>копии в электронной форме стандартов и правил Ассоциации, а также внутренних документов Ассоциации, в соответствии с требованиями федеральных законов, нормативных правовых актов Российской Федерации и решениями совета Ассоциации;</w:t>
      </w:r>
    </w:p>
    <w:p w14:paraId="3F4164BF" w14:textId="77777777" w:rsidR="00B82F8B" w:rsidRDefault="00000000">
      <w:pPr>
        <w:ind w:left="35" w:right="64"/>
      </w:pPr>
      <w:r>
        <w:t>З) информацию о структуре и компетенции органов управления, специализированных органов Ассоциации, методическом органе Ассоциации, количественном и персональном составе постоянно действующего коллегиального органа управления Ассоциации (с указанием штатных должностей членов постоянно действующего коллегиального органа управления Ассоциации, в том числе независимых членов, по основному месту работы), о лице, осуществляющем функции единоличного исполнительного органа Ассоциации;</w:t>
      </w:r>
    </w:p>
    <w:p w14:paraId="4AC2C0F0" w14:textId="77777777" w:rsidR="00B82F8B" w:rsidRDefault="00000000">
      <w:pPr>
        <w:numPr>
          <w:ilvl w:val="0"/>
          <w:numId w:val="3"/>
        </w:numPr>
        <w:ind w:right="64"/>
      </w:pPr>
      <w:r>
        <w:t>решения, принятые общим собранием членов Ассоциации и постоянно действующим коллегиальным органом управления Ассоциации;</w:t>
      </w:r>
    </w:p>
    <w:p w14:paraId="2C7090F4" w14:textId="77777777" w:rsidR="00B82F8B" w:rsidRDefault="00000000">
      <w:pPr>
        <w:numPr>
          <w:ilvl w:val="0"/>
          <w:numId w:val="3"/>
        </w:numPr>
        <w:spacing w:after="33" w:line="259" w:lineRule="auto"/>
        <w:ind w:right="64"/>
      </w:pPr>
      <w:r>
        <w:t>информацию об исках и о заявлениях, поданных Ассоциацией в суды;</w:t>
      </w:r>
    </w:p>
    <w:p w14:paraId="7575AB57" w14:textId="77777777" w:rsidR="00B82F8B" w:rsidRDefault="00000000">
      <w:pPr>
        <w:numPr>
          <w:ilvl w:val="0"/>
          <w:numId w:val="3"/>
        </w:numPr>
        <w:ind w:right="64"/>
      </w:pPr>
      <w:r>
        <w:t>информацию о способах и порядке обеспечения имущественной ответственности членов Ассоциации перед заказчиками кадастровых работ и иными лицами;</w:t>
      </w:r>
    </w:p>
    <w:p w14:paraId="3E3B2C7B" w14:textId="77777777" w:rsidR="00B82F8B" w:rsidRDefault="00000000">
      <w:pPr>
        <w:numPr>
          <w:ilvl w:val="0"/>
          <w:numId w:val="3"/>
        </w:numPr>
        <w:ind w:right="64"/>
      </w:pPr>
      <w:r>
        <w:t>информацию об управляющей компании, с которой Ассоциацией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Ассоциацией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Ассоциации перед заказчиками кадастровых работ и размещение средств компенсационного фонда осуществляется через управляющую компанию;</w:t>
      </w:r>
    </w:p>
    <w:p w14:paraId="7F263888" w14:textId="77777777" w:rsidR="00B82F8B" w:rsidRDefault="00000000">
      <w:pPr>
        <w:numPr>
          <w:ilvl w:val="0"/>
          <w:numId w:val="3"/>
        </w:numPr>
        <w:spacing w:after="48"/>
        <w:ind w:right="64"/>
      </w:pPr>
      <w:r>
        <w:t>информацию о составе и стоимости имущества компенсационного фонда Ассоциации в случае применения Ассоциацией компенсационного фонда в качестве способа обеспечения имущественной ответственности членов Ассоциации перед заказчиками кадастровых работ и иными лицами, а также информацию о фактах осуществления выплат из компенсационного фонда Ассоциации в целях обеспечения имущественной ответственности членов Ассоциации перед заказчиками кадастровых работ и иными лицами и об основаниях таких выплат, если такие выплаты осуществлялись;</w:t>
      </w:r>
    </w:p>
    <w:p w14:paraId="7853AF0A" w14:textId="77777777" w:rsidR="00B82F8B" w:rsidRDefault="00000000">
      <w:pPr>
        <w:numPr>
          <w:ilvl w:val="0"/>
          <w:numId w:val="3"/>
        </w:numPr>
        <w:spacing w:after="43"/>
        <w:ind w:right="64"/>
      </w:pPr>
      <w:r>
        <w:t>информацию о порядке осуществления аттестации членов Ассоциации в случае, если федеральным законом и (или) Ассоциацией установлено требование о прохождении аттестации членами Ассоциации;</w:t>
      </w:r>
    </w:p>
    <w:p w14:paraId="3D6F19BB" w14:textId="77777777" w:rsidR="00B82F8B" w:rsidRDefault="00000000">
      <w:pPr>
        <w:numPr>
          <w:ilvl w:val="0"/>
          <w:numId w:val="3"/>
        </w:numPr>
        <w:spacing w:after="104" w:line="253" w:lineRule="auto"/>
        <w:ind w:right="64"/>
      </w:pPr>
      <w:r>
        <w:t>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года;</w:t>
      </w:r>
    </w:p>
    <w:p w14:paraId="6A3AE197" w14:textId="77777777" w:rsidR="00B82F8B" w:rsidRDefault="00000000">
      <w:pPr>
        <w:numPr>
          <w:ilvl w:val="0"/>
          <w:numId w:val="3"/>
        </w:numPr>
        <w:spacing w:after="58"/>
        <w:ind w:right="64"/>
      </w:pPr>
      <w:r>
        <w:t>годовую бухгалтерскую (финансовую) отчетность Ассоциации и аудиторское заключение в отношении указанной отчетности (при его наличии);</w:t>
      </w:r>
    </w:p>
    <w:p w14:paraId="6FED42B5" w14:textId="77777777" w:rsidR="00B82F8B" w:rsidRDefault="00000000">
      <w:pPr>
        <w:numPr>
          <w:ilvl w:val="0"/>
          <w:numId w:val="3"/>
        </w:numPr>
        <w:spacing w:line="364" w:lineRule="auto"/>
        <w:ind w:right="64"/>
      </w:pPr>
      <w:r>
        <w:t>полное и сокращенное наименование Ассоциации, место её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</w:t>
      </w:r>
    </w:p>
    <w:p w14:paraId="7C250652" w14:textId="77777777" w:rsidR="00B82F8B" w:rsidRDefault="00000000">
      <w:pPr>
        <w:numPr>
          <w:ilvl w:val="0"/>
          <w:numId w:val="3"/>
        </w:numPr>
        <w:spacing w:after="34"/>
        <w:ind w:right="64"/>
      </w:pPr>
      <w:r>
        <w:t>иную предусмотренную федеральными законами и (или) Ассоциацией информацию.</w:t>
      </w:r>
    </w:p>
    <w:p w14:paraId="33707FA3" w14:textId="77777777" w:rsidR="00B82F8B" w:rsidRDefault="00000000">
      <w:pPr>
        <w:numPr>
          <w:ilvl w:val="1"/>
          <w:numId w:val="4"/>
        </w:numPr>
        <w:ind w:right="64"/>
      </w:pPr>
      <w:r>
        <w:t xml:space="preserve">Любые изменения, внесенные в документы и информацию, указанные в пунктах 1 - 7 и 9 - 12 части 2.1 настоящего положения,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8 части 2.1 настоящего положения, подлежит </w:t>
      </w:r>
      <w:proofErr w:type="spellStart"/>
      <w:r>
        <w:t>размещеншо</w:t>
      </w:r>
      <w:proofErr w:type="spellEnd"/>
      <w:r>
        <w:t xml:space="preserve"> на официальном сайте ежеквартально не позднее чем в течение пяти рабочих дней с начала очередного квартала. Информация, указанная в пункте 13 части 2.1 настоящего положения, подлежит размещению на официальном сайте в соответствии с требованиями, установленными федеральными законами и (или) Ассоциацией.</w:t>
      </w:r>
    </w:p>
    <w:p w14:paraId="7DDD4FD3" w14:textId="77777777" w:rsidR="00B82F8B" w:rsidRDefault="00000000">
      <w:pPr>
        <w:numPr>
          <w:ilvl w:val="1"/>
          <w:numId w:val="4"/>
        </w:numPr>
        <w:spacing w:after="342"/>
        <w:ind w:right="64"/>
      </w:pPr>
      <w:r>
        <w:t>Ассоциация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14:paraId="2E4C5A06" w14:textId="77777777" w:rsidR="00B82F8B" w:rsidRDefault="00000000">
      <w:pPr>
        <w:spacing w:after="348" w:line="262" w:lineRule="auto"/>
        <w:ind w:left="4011" w:right="0" w:hanging="2924"/>
        <w:jc w:val="left"/>
      </w:pPr>
      <w:r>
        <w:rPr>
          <w:sz w:val="26"/>
        </w:rPr>
        <w:t>З. ПОРЯДОК РАСКРЫТИЯ ИНФОРМАЦИИ О ДЕЯТЕЛЬНОСТИ ЧЛЕНОВ АССОЦИАЦИИ</w:t>
      </w:r>
    </w:p>
    <w:p w14:paraId="42266222" w14:textId="5DB8ECDD" w:rsidR="00B82F8B" w:rsidRDefault="00000000">
      <w:pPr>
        <w:numPr>
          <w:ilvl w:val="1"/>
          <w:numId w:val="5"/>
        </w:numPr>
        <w:ind w:right="64"/>
      </w:pPr>
      <w:r>
        <w:t>Официальный сайт Ассоциации www.profcadastre.ru в информационно</w:t>
      </w:r>
      <w:r w:rsidR="006E5F8B">
        <w:t>-</w:t>
      </w:r>
      <w:r>
        <w:t>телекоммуникационной сети ”Интернет” должен обеспечивать возможность размещения аппаратом Ассоциации и членами Ассоциации информации о деятельности членов Ассоциации.</w:t>
      </w:r>
    </w:p>
    <w:p w14:paraId="558F96E8" w14:textId="77777777" w:rsidR="00B82F8B" w:rsidRDefault="00000000">
      <w:pPr>
        <w:numPr>
          <w:ilvl w:val="1"/>
          <w:numId w:val="5"/>
        </w:numPr>
        <w:spacing w:after="5851"/>
        <w:ind w:right="64"/>
      </w:pPr>
      <w:r>
        <w:t>Объем раскрываемой информации о деятельности членов Ассоциации устанавливается федеральными законами и внутренними документами Ассоциации.</w:t>
      </w:r>
    </w:p>
    <w:p w14:paraId="009D12FC" w14:textId="77777777" w:rsidR="00B82F8B" w:rsidRDefault="00000000">
      <w:pPr>
        <w:spacing w:after="217" w:line="259" w:lineRule="auto"/>
        <w:ind w:left="10" w:right="71" w:hanging="10"/>
        <w:jc w:val="right"/>
      </w:pPr>
      <w:r>
        <w:t>4</w:t>
      </w:r>
    </w:p>
    <w:sectPr w:rsidR="00B82F8B">
      <w:pgSz w:w="11920" w:h="16840"/>
      <w:pgMar w:top="956" w:right="749" w:bottom="850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2813F2"/>
    <w:multiLevelType w:val="multilevel"/>
    <w:tmpl w:val="A94E82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548F3"/>
    <w:multiLevelType w:val="multilevel"/>
    <w:tmpl w:val="CB7A97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1179E"/>
    <w:multiLevelType w:val="hybridMultilevel"/>
    <w:tmpl w:val="70C0D5F6"/>
    <w:lvl w:ilvl="0" w:tplc="DE9C91F4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2B6C">
      <w:start w:val="1"/>
      <w:numFmt w:val="lowerLetter"/>
      <w:lvlText w:val="%2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A2556">
      <w:start w:val="1"/>
      <w:numFmt w:val="lowerRoman"/>
      <w:lvlText w:val="%3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41314">
      <w:start w:val="1"/>
      <w:numFmt w:val="decimal"/>
      <w:lvlText w:val="%4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5C6">
      <w:start w:val="1"/>
      <w:numFmt w:val="lowerLetter"/>
      <w:lvlText w:val="%5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04E">
      <w:start w:val="1"/>
      <w:numFmt w:val="lowerRoman"/>
      <w:lvlText w:val="%6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22038">
      <w:start w:val="1"/>
      <w:numFmt w:val="decimal"/>
      <w:lvlText w:val="%7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C47E">
      <w:start w:val="1"/>
      <w:numFmt w:val="lowerLetter"/>
      <w:lvlText w:val="%8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6E520">
      <w:start w:val="1"/>
      <w:numFmt w:val="lowerRoman"/>
      <w:lvlText w:val="%9"/>
      <w:lvlJc w:val="left"/>
      <w:pPr>
        <w:ind w:left="7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A46B69"/>
    <w:multiLevelType w:val="hybridMultilevel"/>
    <w:tmpl w:val="E9BEA822"/>
    <w:lvl w:ilvl="0" w:tplc="90465E6C">
      <w:start w:val="4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A350C">
      <w:start w:val="1"/>
      <w:numFmt w:val="lowerLetter"/>
      <w:lvlText w:val="%2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ED466">
      <w:start w:val="1"/>
      <w:numFmt w:val="lowerRoman"/>
      <w:lvlText w:val="%3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44DC">
      <w:start w:val="1"/>
      <w:numFmt w:val="decimal"/>
      <w:lvlText w:val="%4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AD4F6">
      <w:start w:val="1"/>
      <w:numFmt w:val="lowerLetter"/>
      <w:lvlText w:val="%5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383C">
      <w:start w:val="1"/>
      <w:numFmt w:val="lowerRoman"/>
      <w:lvlText w:val="%6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BB10">
      <w:start w:val="1"/>
      <w:numFmt w:val="decimal"/>
      <w:lvlText w:val="%7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EB932">
      <w:start w:val="1"/>
      <w:numFmt w:val="lowerLetter"/>
      <w:lvlText w:val="%8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6B8B8">
      <w:start w:val="1"/>
      <w:numFmt w:val="lowerRoman"/>
      <w:lvlText w:val="%9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356DE"/>
    <w:multiLevelType w:val="hybridMultilevel"/>
    <w:tmpl w:val="A86269E2"/>
    <w:lvl w:ilvl="0" w:tplc="5A8C32EA">
      <w:start w:val="1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830CC">
      <w:start w:val="1"/>
      <w:numFmt w:val="lowerLetter"/>
      <w:lvlText w:val="%2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45E70">
      <w:start w:val="1"/>
      <w:numFmt w:val="lowerRoman"/>
      <w:lvlText w:val="%3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26B4A">
      <w:start w:val="1"/>
      <w:numFmt w:val="decimal"/>
      <w:lvlText w:val="%4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C1498">
      <w:start w:val="1"/>
      <w:numFmt w:val="lowerLetter"/>
      <w:lvlText w:val="%5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F6D8">
      <w:start w:val="1"/>
      <w:numFmt w:val="lowerRoman"/>
      <w:lvlText w:val="%6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05916">
      <w:start w:val="1"/>
      <w:numFmt w:val="decimal"/>
      <w:lvlText w:val="%7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8FFDC">
      <w:start w:val="1"/>
      <w:numFmt w:val="lowerLetter"/>
      <w:lvlText w:val="%8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8864A">
      <w:start w:val="1"/>
      <w:numFmt w:val="lowerRoman"/>
      <w:lvlText w:val="%9"/>
      <w:lvlJc w:val="left"/>
      <w:pPr>
        <w:ind w:left="7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317EE8"/>
    <w:multiLevelType w:val="hybridMultilevel"/>
    <w:tmpl w:val="D46A6B02"/>
    <w:lvl w:ilvl="0" w:tplc="A30A3BF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CBB20">
      <w:start w:val="1"/>
      <w:numFmt w:val="lowerLetter"/>
      <w:lvlText w:val="%2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6873E6">
      <w:start w:val="1"/>
      <w:numFmt w:val="lowerRoman"/>
      <w:lvlText w:val="%3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094CE">
      <w:start w:val="1"/>
      <w:numFmt w:val="decimal"/>
      <w:lvlText w:val="%4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047E32">
      <w:start w:val="1"/>
      <w:numFmt w:val="lowerLetter"/>
      <w:lvlText w:val="%5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24BDCA">
      <w:start w:val="1"/>
      <w:numFmt w:val="lowerRoman"/>
      <w:lvlText w:val="%6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81CFC">
      <w:start w:val="1"/>
      <w:numFmt w:val="decimal"/>
      <w:lvlText w:val="%7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6474D8">
      <w:start w:val="1"/>
      <w:numFmt w:val="lowerLetter"/>
      <w:lvlText w:val="%8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FC427E">
      <w:start w:val="1"/>
      <w:numFmt w:val="lowerRoman"/>
      <w:lvlText w:val="%9"/>
      <w:lvlJc w:val="left"/>
      <w:pPr>
        <w:ind w:left="9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672627">
    <w:abstractNumId w:val="2"/>
  </w:num>
  <w:num w:numId="2" w16cid:durableId="1783643145">
    <w:abstractNumId w:val="4"/>
  </w:num>
  <w:num w:numId="3" w16cid:durableId="652300075">
    <w:abstractNumId w:val="3"/>
  </w:num>
  <w:num w:numId="4" w16cid:durableId="650328675">
    <w:abstractNumId w:val="1"/>
  </w:num>
  <w:num w:numId="5" w16cid:durableId="1769081309">
    <w:abstractNumId w:val="0"/>
  </w:num>
  <w:num w:numId="6" w16cid:durableId="1583877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8B"/>
    <w:rsid w:val="006E5F8B"/>
    <w:rsid w:val="00B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ED66"/>
  <w15:docId w15:val="{23217BD6-AC80-495C-979F-6AE0FC04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09" w:lineRule="auto"/>
      <w:ind w:right="86" w:firstLine="84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6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ОПКД</dc:creator>
  <cp:keywords/>
  <cp:lastModifiedBy>СРО ОПКД</cp:lastModifiedBy>
  <cp:revision>2</cp:revision>
  <dcterms:created xsi:type="dcterms:W3CDTF">2024-04-05T08:20:00Z</dcterms:created>
  <dcterms:modified xsi:type="dcterms:W3CDTF">2024-04-05T08:20:00Z</dcterms:modified>
</cp:coreProperties>
</file>