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Доклад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начальника отдела правового обеспечения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Управления Росреестра по Алтайскому краю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i/>
          <w:iCs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Майдуровой И.С.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совещанию с кадастровыми инженерами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орган регистрации поступило заявление от физического лица, </w:t>
        <w:br/>
        <w:t xml:space="preserve">в лице представителя – кадастрового инженера, действующего на основании договора подряда от 30.08.2024 для осуществления государственного кадастрового учета и (или) государственной регист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права собственности на нежилое здание.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качестве документа основания представлен технический план о постановке на кадастровый учет неж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илого здания.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ч.1 ст. 14 Федерального закона от 13.07.2015 </w:t>
        <w:br/>
        <w:t xml:space="preserve">№ 218-ФЗ «О государственной регистрации недвижимости» (далее – Закон), государственный кадастровый учет и (или) государственная регистрация прав осуществляются на основании заявления, за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сключением установленных настоящим Федеральным законом случаев, и документов, поступивших               в орган регистрации прав в установленном настоящим Федеральным законом порядке.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2.1 статьи 36 Федерального закона </w:t>
        <w:br/>
        <w:t xml:space="preserve">от 24.07.2007 N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221-ФЗ "О кадаст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ровой деятельности" (далее - Закон N 221-ФЗ) договор подряда на выполнение кадастровых работ может содержать условие об обязанности кадастрового инженера - индивидуального предпринимателя, указанного в статье 32 Закона N 221-ФЗ, или работни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юридического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лица, указанного в статье 33 Закона N 221-ФЗ, представлять без доверенности документы, подготовленные в результате выполнения кадастровых работ, в орган регистрации прав в порядке, установленном Законом, в случаях, предусмотренных данной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стью статьи 36 Закона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N 221-ФЗ. При этом в указанных случаях документами, подтверждающими полномочия кадастрового инженера - индивидуального предпринимателя или кадастрового инженера - работника юридического лица на подачу заявления в орган регистрации 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в, являются догов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 подряда на выполнение кадастровых работ и (или) справка с места работы, подтверждающая, что кадастровый инженер, выполняющий кадастровые работы, является работником юридического лица, а также документы, свидетельствующие                  о приемке заказ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чиком результатов кадастровых работ и его согласии                      с содержанием подготовленных по результатам таких работ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указанных случаях (если в договор подряда на выполнение кадастровых работ на основании части 2.1 статьи 36 Закона N 221-ФЗ сторонами 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лючено условие о представлении кадастровым инженером документов, подготовленных им в результате выполнения кадастровых работ по такому договору, в орган регистрации прав без доверенности) кадастровый инженер представляет соответствующие документы в орган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егистрации прав не по собственной инициативе, а в интересах и от лица правообладателя объекта недвижимости (заказчика кадастровых работ) на основании его поручения, содержащегося в договоре подряда на выполнение кадастровых работ. Требования к документам,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представляемым для осуществления государственного кадастрового учета и (или) государственной регистрации прав, установлены статьей 21 Закона.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отметить, что указанные в части 2.1 статьи 36 Закона               N 221-ФЗ документы не предназначены для включения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приложение межевого плана, технического плана, акта обследования, являются самостоятельными документами, прилагаемыми к заявлению с целью подтверждения полномочий на обращение в орган регистрации прав. Предусмотренные частью 2.1 статьи 36 Закона N 221-ФЗ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документы, подтверждающие полномочия кадастрового инженера - индивидуального предпринимателя или кадастрового инженера - работника юридического лица на представление заявления в орган регистрации прав без доверенности, должны соответствовать требованиям,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установленным статьей 21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акона,               в том числе частью 9 статьи 21 Закона, согласно которой документы, необходимые для осуществления государственного кадастрового учета или государственного кадастрового учета и государственной регистрации прав             и представляемы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в форме электро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                 в соответствии с нормативными правовыми актами Российской Федерации упо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лномочены заверять копии таких документов в форме документов на бумажном носителе (т.е УКЭП кадастрового инженера и лица с которым заключен договор подряда). Таким образом, Договор подряда и акт выполненных работ должен быть подписан УКЭП всех лиц, подписа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вших документы на бумажном носителе.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нарушение действующего законодательства, представленные кадастровым инженером договор подряда на выполнение кадастровых работ  и акт сдачи-приемки выполненных работ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осуществления государственного кадастрового учета и (или) государственной регистрации права, в форме электронных документов, не соответствуют требованиям ч. 9 ст. 21 Закона. Вышеперечисленные документы подписаны только электронной цифровой под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писью кадастрового инженера. Кроме того, полномочия кадастрового инженера на подачу заявления в орган регистрации прав             в представленном договоре подряда не прописаны.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выявлены несоответствия по датам представленных для осуществлени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государственного кадастрового учета и (или) государственной регистрации документов, а именно, технический план здания подготовлен кадастровым инженером 21.08.2024, договор подряда на выполнение кадастровых работ от 30.08.2024, а акт сдачи – приемки выпол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ненных работ от 20.06.2024.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Кроме того, согласно п.51 Приказа Росреестра от 15.03.2022 №П/082 «Об установлении формы технического плана, требований к его подготовке и состава содержащихся в нем сведений» в отношении объекта вспомогательного использования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казываются слова «объект вспомогательного использования» и вид использования, а также исходные данные, на основании чего подготовлен Технический план. Все вышеперечисленные требования отсутствуют в представленном техническом плане. Таким образом для 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твления государственного кадастрового учета и (или) государственной регистрации прав  необходимые документы, соответствующие действующему законодательству, не представлены.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устранения причин приостановления осуществления государственной 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гистрации прав объекта недвижимости государственный регистратор рекомендовал: 1) предоставить технический план для постановки на кадастровый учет здания, соответствующий требованиям действующего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законодательства; 2) предоставить договор подряда с включенными в него условиями о предоставлении кадастровым инженером документов, подготовленных им в результате выполнения кадастровых работ по такому договору, в орган регистрации прав или нотариально 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остоверенную доверенность; 3) представить договор подряда и акт выполненных работ, подписанный усиленной квалифицированной электронной подписью лиц, подписавших договор на бумажном носителе в соответствии с хронологией их изготовления; 4) либо представить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 подряда и акт выполненных работ на бумажном носителе, через пункты приема в Многофункциональном центре.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Государственный регистратор в уведомлении о приостановлении указал, что осуществление действий по государственной регистрации  приостанавливается по основаниям, предусмотренным пунктом 2                                 (с заявлен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ием о государственном кадастровом учете и (или) государственной регистрации прав обратилось ненадлежащее лицо), 5 (не представлены документы, необходимые для осуществления государственного кадастрового учета и (или) государственной регистрации прав), 7 (фо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рма и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документа, представленного для осуществления государственного кадастрового учета и (или) государственной регистрации прав,                             не соответствуют требованиям законодательства Российской Федерации) части 1 статьи 26 Закона.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Обратить внимание кадастровых инженеров на следующее обстоятельство. При подготовке межевых планов на земельные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тки, образуемые из исходного земельного участка сельскохозяйственного назначения, уточнять у заказчиков информацию о наличии  согласия  арендатора на выдел земельного участка, т.к. в противном случае нет смысла в оформлении такого межевого плана (планов).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Управление поступили заявления от граждан, действующих через представителей по доверенностям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постановке на государственный кадастровый учет и государственную регистрацию права общей долевой собственности на земельный участок, образуемый путем выдела в счет долей в праве общей долевой собственности из исходного земельного 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Вместе с заявлением был представлен межевой план.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п. 1 ст. 11.2 Земельного кодекса Российской Федерации от 25.10.2001 № 136-ФЗ, земельные участки образуются при разделе, объединении, перераспределении земельны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участков или выделе из земельных участков, а также из земель, находящихся в государственной или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униципальной собственности. В силу п. 10 ч. 8 ст. 41  Федерального Закона № 218-ФЗ от 13.07.2015 «О государственной регистрации недвижимости» (далее – Закон) обязательным приложением к документам, представляемым  в целях государственной регистрации прав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земельные участки, образуемые при преобразовании, является письменное согласие третьих лиц на образование объекта недвижимости, если такое согласие на образование объекта недвижимости является обязательным в соответствии с федеральным законом. Согласно ч.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 ст. 11.2 Земельного кодекса Российской Федерации,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представленным документам, земельный участок образуется путем выдела в счет долей в праве обшей долевой собственности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исходного земельного участка, при этом, данный земельный участок находится               в пользовании на правах аренды у Сельскохозяйственного производственного кооператива  на основании договора аренды земель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участка. Указанный договор аренды заключен сроком на 10 лет. В соответствии с частью 1 статьи 51 Закона государственная регистрация аренды недвижимого имущества осуществляется посредством государственной регистрации договора аренды недви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жимого имущества. В соответствии с пунктом 2 статьи 621 Гражданского кодекса,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овиях на неопределенный срок. При этом орган регистрации прав не вправе самостоятельно вносить в Единый государственный реестр недвижимости (далее - ЕГРН) какие-либо записи (в том числе о погашении регистрационной записи об аренде в связи с истечением 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анного в договоре аренды недвижимости срока).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keepLines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пакте документов, поступивших на государственную регистрацию,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представлено уведомление арендатора о прекращении аренды от 13.04.2022. Согласно п. 1 ст. 14 Закона об обороте земель сельскохозяйственного назначения владение, пользование и распоряжение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земельным участком из земель сельскохозяйственного назначения, находящимся в долевой собственности более чем пяти лиц, осуществляются в соответствии с решением участников долевой собственности, которое принимается на общем собрании участников долевой собс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твенности. В соответствии с пунктом 1 статьи 246 Гражданского кодекса Российской Федерации распоряжение имуществом, находящимся в долевой собственности, осуществляется по соглашению всех ее участников.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законодательством не предусмотрены особ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енности государственной регистрации прекращения права аренды земельного участка части (не всех) участников долевой собственности. Представленное уведомление не является основанием для погашения записи в ЕГРН об аренде в отношении исходного земельного 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ка, следовательно, на момент подачи заявления запись об аренде в ЕГРН является актуальной, в связи с чем, должно быть представлено письменное согласие арендатора на образование земельного участка из исходного земельного участка.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вышеизложенного, государственный регистратор приостановил осуществление четно-регистрационных действий  в отношении образуемого земельного 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пунктом 5 ст. 26 Закона </w:t>
        <w:br/>
        <w:t xml:space="preserve">(не представлены документы, необходимые для осуществления гос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ударственного кадастрового учета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(или) государственной регистрации прав) – не представлено письменное согласие арендатора на выдел земельного участка. Для устранения причин, послуживших основанием для приостановления, государственный регистратор предложил заявителям представить в орган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егистрации прав письменное согласие арендатора на выдел земельного участка, приобщив его в качестве дополнительного документа.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fldSimple w:instr="PAGE \* MERGEFORMAT">
      <w:r>
        <w:t xml:space="preserve">1</w:t>
      </w:r>
    </w:fldSimple>
    <w:r/>
    <w:r/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fldSimple w:instr="PAGE \* MERGEFORMAT">
      <w:r>
        <w:t xml:space="preserve">1</w:t>
      </w:r>
    </w:fldSimple>
    <w:r/>
    <w:r/>
  </w:p>
  <w:p>
    <w:pPr>
      <w:pStyle w:val="7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2"/>
    <w:next w:val="902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2"/>
    <w:next w:val="902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2024-12-28T05:39:52Z</dcterms:modified>
</cp:coreProperties>
</file>