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720"/>
        <w:jc w:val="right"/>
        <w:spacing w:before="0" w:beforeAutospacing="0" w:after="0" w:afterAutospacing="0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Доклад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государственного регистратора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867"/>
        <w:ind w:left="720"/>
        <w:jc w:val="right"/>
        <w:spacing w:before="0" w:beforeAutospacing="0" w:after="0" w:afterAutospacing="0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Межмуниципального Новоалтайского отдела </w:t>
      </w:r>
      <w:r>
        <w:rPr>
          <w:i/>
          <w:iCs/>
          <w:sz w:val="28"/>
          <w:szCs w:val="28"/>
        </w:rPr>
        <w:br/>
        <w:t xml:space="preserve">Управления Росреестра по Алтайскому краю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867"/>
        <w:ind w:left="720"/>
        <w:jc w:val="right"/>
        <w:spacing w:before="0" w:beforeAutospacing="0" w:after="0" w:afterAutospacing="0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867"/>
        <w:ind w:left="720"/>
        <w:jc w:val="right"/>
        <w:spacing w:before="0" w:beforeAutospacing="0" w:after="0" w:afterAutospacing="0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Родионовой Елены Евгеньевны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«Типичные ошибки кадастровых инженеров»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подготовленных кадастровыми инженерами технических, межевых планов, актов обследования существенно влияет на количество принятых решений о приостановлении, соответственно на качество</w:t>
      </w:r>
      <w:r>
        <w:rPr>
          <w:rFonts w:ascii="Times New Roman" w:hAnsi="Times New Roman" w:cs="Times New Roman"/>
          <w:sz w:val="28"/>
          <w:szCs w:val="28"/>
        </w:rPr>
        <w:t xml:space="preserve"> и сроки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услуг.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Ошибки встречаемые в межевых планах: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8"/>
        <w:jc w:val="both"/>
        <w:spacing w:after="100"/>
        <w:shd w:val="clear" w:color="auto" w:fill="ffffff"/>
        <w:rPr>
          <w:rFonts w:ascii="Times New Roman" w:hAnsi="Times New Roman" w:eastAsia="Verdana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Часто в межевых планах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sz w:val="28"/>
          <w:szCs w:val="28"/>
          <w:highlight w:val="white"/>
        </w:rPr>
        <w:t xml:space="preserve">не верно указывают </w:t>
      </w:r>
      <w:r>
        <w:rPr>
          <w:rFonts w:ascii="Times New Roman" w:hAnsi="Times New Roman" w:eastAsia="Verdana" w:cs="Times New Roman"/>
          <w:b/>
          <w:sz w:val="28"/>
          <w:szCs w:val="28"/>
          <w:highlight w:val="white"/>
        </w:rPr>
        <w:t xml:space="preserve">предельные минимальный </w:t>
        <w:br/>
        <w:t xml:space="preserve">и максимальный размеры земельного участка</w:t>
      </w:r>
      <w:r>
        <w:rPr>
          <w:rFonts w:ascii="Times New Roman" w:hAnsi="Times New Roman" w:eastAsia="Verdana" w:cs="Times New Roman"/>
          <w:sz w:val="28"/>
          <w:szCs w:val="28"/>
          <w:highlight w:val="white"/>
        </w:rPr>
        <w:t xml:space="preserve">, соответствующий виду разрешенного использования</w:t>
      </w:r>
      <w:r>
        <w:rPr>
          <w:rFonts w:ascii="Times New Roman" w:hAnsi="Times New Roman" w:eastAsia="Verdana" w:cs="Times New Roman"/>
          <w:sz w:val="28"/>
          <w:szCs w:val="28"/>
        </w:rPr>
        <w:t xml:space="preserve">.</w:t>
      </w:r>
      <w:r>
        <w:rPr>
          <w:rFonts w:ascii="Times New Roman" w:hAnsi="Times New Roman" w:eastAsia="Verdana" w:cs="Times New Roman"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sz w:val="28"/>
          <w:szCs w:val="28"/>
        </w:rPr>
      </w:r>
      <w:r>
        <w:rPr>
          <w:rFonts w:ascii="Times New Roman" w:hAnsi="Times New Roman" w:eastAsia="Verdana" w:cs="Times New Roman"/>
          <w:sz w:val="28"/>
          <w:szCs w:val="28"/>
        </w:rPr>
      </w:r>
    </w:p>
    <w:p>
      <w:pPr>
        <w:pStyle w:val="868"/>
        <w:jc w:val="both"/>
        <w:spacing w:after="10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53 Требований к подготовке</w:t>
      </w:r>
      <w:r>
        <w:rPr>
          <w:rFonts w:ascii="Times New Roman" w:hAnsi="Times New Roman" w:cs="Times New Roman"/>
          <w:sz w:val="28"/>
          <w:szCs w:val="28"/>
        </w:rPr>
        <w:t xml:space="preserve"> Межевого плана, утвержденных приказом Росреестра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/0592 </w:t>
      </w:r>
      <w:r>
        <w:rPr>
          <w:rFonts w:ascii="Times New Roman" w:hAnsi="Times New Roman" w:cs="Times New Roman"/>
          <w:sz w:val="28"/>
          <w:szCs w:val="28"/>
        </w:rPr>
        <w:t xml:space="preserve">предельные минимальный и максимальный размеры, соответствующие виду разрешенного использования земельного участка, указываются на основании документов, устанавливающих такие размеры </w:t>
        <w:br/>
        <w:t xml:space="preserve">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Встречаются межевые планы по проведению кадастровых работ в результате раздела или выдела земельных участков, площадь которых меньше минимальных размеров, предусмотренных градостроительным регламентом.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1" w:tooltip="consultantplus://offline/ref=2403F4DD8183E6B537B3A6D2D20BC435C05FD555CF06E408A0896B9FCB2483EA4969C3B4A53EAEDB8D73B22ACD01C5BCAA5F4767C9mFT7B" w:history="1">
        <w:r>
          <w:rPr>
            <w:rStyle w:val="869"/>
            <w:rFonts w:ascii="Times New Roman" w:hAnsi="Times New Roman" w:cs="Times New Roman"/>
            <w:color w:val="0000ff"/>
            <w:sz w:val="28"/>
            <w:szCs w:val="28"/>
          </w:rPr>
          <w:t xml:space="preserve">Статья 11.9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РФ предусматривает требования, предъявляемые к образуемым и измененным земельным участкам. Это значит, </w:t>
        <w:br/>
        <w:t xml:space="preserve">что, в случае если по инициативе правообладател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разделение земельного участка на несколько участков, размеры вновь образованных земельных участков не должны быть меньше</w:t>
      </w:r>
      <w:r>
        <w:rPr>
          <w:rFonts w:ascii="Times New Roman" w:hAnsi="Times New Roman" w:cs="Times New Roman"/>
          <w:sz w:val="28"/>
          <w:szCs w:val="28"/>
        </w:rPr>
        <w:t xml:space="preserve"> или больше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градостроительным регламентом размеров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проведении кадастровых работ, необходимо использовать документы территориального планирования конкретных муниципальных образований.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Встречается ошибка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границ</w:t>
      </w:r>
      <w:r>
        <w:rPr>
          <w:rFonts w:ascii="Times New Roman" w:hAnsi="Times New Roman" w:cs="Times New Roman"/>
          <w:sz w:val="28"/>
          <w:szCs w:val="28"/>
        </w:rPr>
        <w:t xml:space="preserve"> при уточнении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ч.3 ст. 39 № 221-ФЗ «О кадастровой деятельности»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местоположения г</w:t>
      </w:r>
      <w:r>
        <w:rPr>
          <w:rFonts w:ascii="Times New Roman" w:hAnsi="Times New Roman" w:cs="Times New Roman"/>
          <w:sz w:val="28"/>
          <w:szCs w:val="28"/>
        </w:rPr>
        <w:t xml:space="preserve">раниц прово</w:t>
      </w:r>
      <w:r>
        <w:rPr>
          <w:rFonts w:ascii="Times New Roman" w:hAnsi="Times New Roman" w:cs="Times New Roman"/>
          <w:sz w:val="28"/>
          <w:szCs w:val="28"/>
        </w:rPr>
        <w:t xml:space="preserve">дится с лицами, обладающими смежными земельными участками на праве: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1) собственности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(за исключением случаев, если такие смежные земельные участки, находящиеся в государственной или муниципальной собственнос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2) пожизненного наследуемого владения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3) постоянного (бессрочного) 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4) аренды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имени указанных в настоящей статье лиц в согласовании местоположения границ вправе участвовать их представители, действующие в силу полномочий.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Встречаются акты согласования, в которых: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866"/>
        <w:ind w:left="0" w:hanging="1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все границы согласованы;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0" w:hanging="1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содержатся подписи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лиц;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0" w:hanging="11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включ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копии правоустанавливающих документов, если право на смежные земельные участки не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6"/>
        <w:ind w:left="0" w:hanging="1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Ошибки встречаемые в Технических планах.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каждом совещании с кадастровыми инженерами озвучивается ошибка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наименовании.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Внесение в ЕГРН сведений о наименовании данных здания, сооружения или помещения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либо об изменение такого наименования (если такое изменение </w:t>
        <w:br/>
        <w:t xml:space="preserve">не связано с их реконструкцией, перепланировкой или переустройством либо изменением их назначения)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вносятся только в случаях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предусмотренных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ч. 18 ст.70 218 -ФЗ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здания или сооружения в соответствии со сведениями о наименовании, содержащимися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разрешении на ввод</w:t>
      </w:r>
      <w:r>
        <w:rPr>
          <w:rFonts w:ascii="Times New Roman" w:hAnsi="Times New Roman" w:cs="Times New Roman"/>
          <w:sz w:val="28"/>
          <w:szCs w:val="28"/>
        </w:rPr>
        <w:t xml:space="preserve"> объекта в эксплуатацию;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здания или сооружения в соответствии со сведениями о наиме</w:t>
      </w:r>
      <w:r>
        <w:rPr>
          <w:rFonts w:ascii="Times New Roman" w:hAnsi="Times New Roman" w:cs="Times New Roman"/>
          <w:sz w:val="28"/>
          <w:szCs w:val="28"/>
        </w:rPr>
        <w:t xml:space="preserve">новании, содержащимися в едином государственном реестре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(памятников истории и культуры) народов Российской Федерации, если такое здание или такое сооружение является объектом культурного наследия и включено </w:t>
        <w:br/>
        <w:t xml:space="preserve">в указанный реестр;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сведениями о наименовании, содержащимися в едином государственном реестре автомобильных дорог, если соответствующее сооружение является составной частью автомобильной дороги.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с</w:t>
      </w:r>
      <w:r>
        <w:rPr>
          <w:rFonts w:ascii="Times New Roman" w:hAnsi="Times New Roman" w:cs="Times New Roman"/>
          <w:sz w:val="28"/>
          <w:szCs w:val="28"/>
        </w:rPr>
        <w:t xml:space="preserve">огласно ч. 19 ст. 70 218-ФЗ, сведения о наименовании здания, сооружения или помещения могут быть искл</w:t>
      </w:r>
      <w:r>
        <w:rPr>
          <w:rFonts w:ascii="Times New Roman" w:hAnsi="Times New Roman" w:cs="Times New Roman"/>
          <w:sz w:val="28"/>
          <w:szCs w:val="28"/>
        </w:rPr>
        <w:t xml:space="preserve">ючены ЕГРН по заявлению собственника такого объекта недвижимости при наличии в ЕГРН сведений о виде разрешенного использования такого объекта недвижимости либо одновременно </w:t>
        <w:br/>
        <w:t xml:space="preserve">с внесением сведений о виде разрешенного использования такого объекта недвижимости.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изменить наименование на основании технического плана нельзя.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поступают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планы в </w:t>
      </w:r>
      <w:r>
        <w:rPr>
          <w:rFonts w:ascii="Times New Roman" w:hAnsi="Times New Roman" w:cs="Times New Roman"/>
          <w:sz w:val="28"/>
          <w:szCs w:val="28"/>
        </w:rPr>
        <w:t xml:space="preserve">заключении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кадастровые инженеры забывают отразить выводы о соответствии объекта капитального строительства допустимым параметрам размещения в охранных зонах объектов электросетевого хозяйства.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расхождения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сведений содержащихся в </w:t>
      </w:r>
      <w:r>
        <w:rPr>
          <w:rFonts w:ascii="Times New Roman" w:hAnsi="Times New Roman" w:cs="Times New Roman"/>
          <w:sz w:val="28"/>
          <w:szCs w:val="28"/>
        </w:rPr>
        <w:t xml:space="preserve"> декларации со сведения </w:t>
      </w:r>
      <w:r>
        <w:rPr>
          <w:rFonts w:ascii="Times New Roman" w:hAnsi="Times New Roman" w:cs="Times New Roman"/>
          <w:sz w:val="28"/>
          <w:szCs w:val="28"/>
        </w:rPr>
        <w:t xml:space="preserve">указанными</w:t>
      </w:r>
      <w:r>
        <w:rPr>
          <w:rFonts w:ascii="Times New Roman" w:hAnsi="Times New Roman" w:cs="Times New Roman"/>
          <w:sz w:val="28"/>
          <w:szCs w:val="28"/>
        </w:rPr>
        <w:t xml:space="preserve"> в техническом плане, например неверное указывают назначения </w:t>
        <w:br/>
        <w:t xml:space="preserve">у зданий.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постановке на учет гар</w:t>
      </w:r>
      <w:r>
        <w:rPr>
          <w:rFonts w:ascii="Times New Roman" w:hAnsi="Times New Roman" w:cs="Times New Roman"/>
          <w:sz w:val="28"/>
          <w:szCs w:val="28"/>
        </w:rPr>
        <w:t xml:space="preserve">ажа в технических планах по</w:t>
      </w:r>
      <w:r>
        <w:rPr>
          <w:rFonts w:ascii="Times New Roman" w:hAnsi="Times New Roman" w:cs="Times New Roman"/>
          <w:sz w:val="28"/>
          <w:szCs w:val="28"/>
        </w:rPr>
        <w:t xml:space="preserve">-прежнему</w:t>
      </w:r>
      <w:r>
        <w:rPr>
          <w:rFonts w:ascii="Times New Roman" w:hAnsi="Times New Roman" w:cs="Times New Roman"/>
          <w:sz w:val="28"/>
          <w:szCs w:val="28"/>
        </w:rPr>
        <w:t xml:space="preserve"> вносят назначение «нежилое», релиз ФГИС обновлен, поэтому следует вносить верное значение «гараж».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завершении хочу поблагодарить </w:t>
      </w:r>
      <w:r>
        <w:rPr>
          <w:color w:val="22272f"/>
          <w:sz w:val="28"/>
          <w:szCs w:val="28"/>
        </w:rPr>
        <w:t xml:space="preserve">к</w:t>
      </w:r>
      <w:r>
        <w:rPr>
          <w:color w:val="22272f"/>
          <w:sz w:val="28"/>
          <w:szCs w:val="28"/>
        </w:rPr>
        <w:t xml:space="preserve">адастровы</w:t>
      </w:r>
      <w:r>
        <w:rPr>
          <w:color w:val="22272f"/>
          <w:sz w:val="28"/>
          <w:szCs w:val="28"/>
        </w:rPr>
        <w:t xml:space="preserve">х</w:t>
      </w:r>
      <w:r>
        <w:rPr>
          <w:color w:val="22272f"/>
          <w:sz w:val="28"/>
          <w:szCs w:val="28"/>
        </w:rPr>
        <w:t xml:space="preserve"> инженер</w:t>
      </w:r>
      <w:r>
        <w:rPr>
          <w:color w:val="22272f"/>
          <w:sz w:val="28"/>
          <w:szCs w:val="28"/>
        </w:rPr>
        <w:t xml:space="preserve">ов, которые оперативно реагируют на замечания, </w:t>
      </w:r>
      <w:r>
        <w:rPr>
          <w:color w:val="22272f"/>
          <w:sz w:val="28"/>
          <w:szCs w:val="28"/>
        </w:rPr>
        <w:t xml:space="preserve">стараются в минимально короткие сроки</w:t>
      </w:r>
      <w:r>
        <w:rPr>
          <w:color w:val="22272f"/>
          <w:sz w:val="28"/>
          <w:szCs w:val="28"/>
        </w:rPr>
        <w:t xml:space="preserve"> исправлять</w:t>
      </w:r>
      <w:r>
        <w:rPr>
          <w:color w:val="22272f"/>
          <w:sz w:val="28"/>
          <w:szCs w:val="28"/>
        </w:rPr>
        <w:t xml:space="preserve"> допущен</w:t>
      </w:r>
      <w:r>
        <w:rPr>
          <w:color w:val="22272f"/>
          <w:sz w:val="28"/>
          <w:szCs w:val="28"/>
        </w:rPr>
        <w:t xml:space="preserve">ные</w:t>
      </w:r>
      <w:r>
        <w:rPr>
          <w:color w:val="22272f"/>
          <w:sz w:val="28"/>
          <w:szCs w:val="28"/>
        </w:rPr>
        <w:t xml:space="preserve"> ошиб</w:t>
      </w:r>
      <w:r>
        <w:rPr>
          <w:color w:val="22272f"/>
          <w:sz w:val="28"/>
          <w:szCs w:val="28"/>
        </w:rPr>
        <w:t xml:space="preserve">ки. 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Style w:val="870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Style w:val="870"/>
          <w:rFonts w:ascii="Times New Roman" w:hAnsi="Times New Roman" w:cs="Times New Roman"/>
          <w:i/>
          <w:sz w:val="28"/>
          <w:szCs w:val="28"/>
        </w:rPr>
      </w:r>
      <w:r>
        <w:rPr>
          <w:rStyle w:val="870"/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870"/>
          <w:rFonts w:ascii="Times New Roman" w:hAnsi="Times New Roman" w:cs="Times New Roman"/>
          <w:sz w:val="28"/>
          <w:szCs w:val="28"/>
        </w:rPr>
        <w:t xml:space="preserve">Спасибо за внимание!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TimesNewRomanPS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42055471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2"/>
    <w:next w:val="862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3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2"/>
    <w:next w:val="86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3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3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3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3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3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3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3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2"/>
    <w:next w:val="862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3"/>
    <w:link w:val="707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71"/>
    <w:uiPriority w:val="99"/>
  </w:style>
  <w:style w:type="character" w:styleId="716">
    <w:name w:val="Footer Char"/>
    <w:basedOn w:val="863"/>
    <w:link w:val="873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3"/>
    <w:uiPriority w:val="99"/>
  </w:style>
  <w:style w:type="table" w:styleId="719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List Paragraph"/>
    <w:basedOn w:val="862"/>
    <w:uiPriority w:val="34"/>
    <w:qFormat/>
    <w:pPr>
      <w:contextualSpacing/>
      <w:ind w:left="720"/>
      <w:spacing w:after="200" w:line="276" w:lineRule="auto"/>
    </w:pPr>
  </w:style>
  <w:style w:type="paragraph" w:styleId="867" w:customStyle="1">
    <w:name w:val="s_1"/>
    <w:basedOn w:val="8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 w:customStyle="1">
    <w:name w:val="Обычный1"/>
    <w:pPr>
      <w:spacing w:after="0" w:line="276" w:lineRule="auto"/>
    </w:pPr>
    <w:rPr>
      <w:rFonts w:ascii="Arial" w:hAnsi="Arial" w:eastAsia="Arial" w:cs="Arial"/>
      <w:lang w:eastAsia="ru-RU"/>
    </w:rPr>
  </w:style>
  <w:style w:type="character" w:styleId="869">
    <w:name w:val="Hyperlink"/>
    <w:basedOn w:val="863"/>
    <w:uiPriority w:val="99"/>
    <w:unhideWhenUsed/>
    <w:rPr>
      <w:color w:val="0563c1" w:themeColor="hyperlink"/>
      <w:u w:val="single"/>
    </w:rPr>
  </w:style>
  <w:style w:type="character" w:styleId="870" w:customStyle="1">
    <w:name w:val="fontstyle01"/>
    <w:basedOn w:val="863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871">
    <w:name w:val="Header"/>
    <w:basedOn w:val="862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3"/>
    <w:link w:val="871"/>
    <w:uiPriority w:val="99"/>
  </w:style>
  <w:style w:type="paragraph" w:styleId="873">
    <w:name w:val="Footer"/>
    <w:basedOn w:val="862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3"/>
    <w:link w:val="873"/>
    <w:uiPriority w:val="99"/>
  </w:style>
  <w:style w:type="paragraph" w:styleId="875">
    <w:name w:val="Normal (Web)"/>
    <w:basedOn w:val="86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 w:customStyle="1">
    <w:name w:val="no-indent"/>
    <w:basedOn w:val="8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>
    <w:name w:val="Balloon Text"/>
    <w:basedOn w:val="862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63"/>
    <w:link w:val="87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403F4DD8183E6B537B3A6D2D20BC435C05FD555CF06E408A0896B9FCB2483EA4969C3B4A53EAEDB8D73B22ACD01C5BCAA5F4767C9mFT7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B696-65E8-4429-8C23-46AA16DC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Ирина Леонидовна</dc:creator>
  <cp:keywords/>
  <dc:description/>
  <cp:revision>31</cp:revision>
  <dcterms:created xsi:type="dcterms:W3CDTF">2023-11-23T06:32:00Z</dcterms:created>
  <dcterms:modified xsi:type="dcterms:W3CDTF">2024-12-28T01:37:04Z</dcterms:modified>
</cp:coreProperties>
</file>