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 Размер государственной пошлины за учетно-регистрационные действия с 01.01.2025 г.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53"/>
        <w:tblW w:w="14016" w:type="dxa"/>
        <w:tblLayout w:type="fixed"/>
        <w:tblLook w:val="04A0" w:firstRow="1" w:lastRow="0" w:firstColumn="1" w:lastColumn="0" w:noHBand="0" w:noVBand="1"/>
      </w:tblPr>
      <w:tblGrid>
        <w:gridCol w:w="853"/>
        <w:gridCol w:w="4052"/>
        <w:gridCol w:w="2404"/>
        <w:gridCol w:w="3287"/>
        <w:gridCol w:w="3420"/>
      </w:tblGrid>
      <w:tr>
        <w:tblPrEx/>
        <w:trPr>
          <w:trHeight w:val="992"/>
        </w:trPr>
        <w:tc>
          <w:tcPr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Вид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Норма права налогового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Размер государственной пошлины для ОН,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если КС &lt; 20 000 000 (ФЛ)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и 22 000 000 (ЮЛ) рублей,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либо не определена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Размер государственной пошлины по формуле для ОН если КС &gt; 20 000 000 (ФЛ)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и 22 000 000 (ЮЛ)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gridSpan w:val="5"/>
            <w:tcW w:w="140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c5e0b3" w:themeColor="accent6" w:themeTint="66" w:fill="c5e0b3" w:themeFill="accent6" w:themeFillTint="66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8"/>
                <w:szCs w:val="28"/>
              </w:rPr>
              <w:t xml:space="preserve">Размер государственной пошлины за государственную регистрацию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3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Государственная регистрация прав, перехода прав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а на предприятие как имущественный комплекс, сделок с предприятием как имущественным комплексом, если такие сделки подлежат государственной регистрации в соответствии с федеральным законом, ограничений (обременений) предприятия как имущественного комплекса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пп.21 п.1 ст.333.33 НК РФ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0,2 % * стоимость имущества, имущественных и иных прав, входящих в состав ПИК,</w:t>
            </w: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но не  &lt; 0,2 % * ЦС,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и не &gt; 1 000 000 рублей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Стоимость имущества, имущественных и иных прав, входящих в состав ПИК -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установленная на дату обращения за совершением юридически значимого действия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Государственная ре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гистрация прав, ограничений прав и обременений объектов недвижимости, сделок с объектом недвижимости, если такие сделки подлежат государственной регистрации в соответствии с федеральным законом, за исключением юридически значимых действий, предусмотренных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. 21, 22.1, 22.4, 24 - 26, 26.1, 27.2, 28 – 31 п.1 ст.333.33 НК РФ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пп.22 п.1 ст.333.33 НК РФ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4 000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0,02 % * КС,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но не &lt; 0,02 % * ЦС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и не &gt; 500 000 рублей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Сумма ГП округляется до полных 100 рублей в меньшую сторону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КС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– установленная на дату обращения за совершением юридически значимого действия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3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44 000 рублей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(за исключением,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религиозных организаций одного вероисповедания, являющих сторонами заключенного между ними договора пожертвования недвижимого имущества религиозного назначения)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0,2 % * КС,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но не &lt; 0,2 % * ЦС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и не &gt; 1 000 000 рублей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Сумма ГП округляется до полных 100 рублей в меньшую сторону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КС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– установленная на дату обращения за совершением юридически значимого действия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Религиозные организаций одного вероисповедания, являющие сторонами заключенного между ними договора пожертвования недвижимого имущества религиозного назначения 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Государственная регистрация права общей долевой собственно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сти владельцев инвестиционных паев на недвижимое имущество, составляющее паевой инвестиционный фонд (приобретаемое для включения в состав паевого инвестиционного фонда), ограничения этого права и обременений данного имущества или сделок с данным имуществом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пп.22.1 п.1 ст.333.33 НК РФ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328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44 000 рублей</w:t>
            </w:r>
            <w:r>
              <w:rPr>
                <w:rFonts w:ascii="Times New Roman" w:hAnsi="Times New Roman" w:eastAsia="Tinos" w:cs="Times New Roman"/>
                <w:iCs/>
                <w:sz w:val="24"/>
                <w:szCs w:val="24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объекта недвижимости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0,2 % * КС,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но не &lt; 0,2 % * ЦС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и не &gt; 1 000 000 рублей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Сумма ГП округляется до полных 100 рублей в меньшую сторону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КС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– установленная на дату обращения за совершением юридически значимого действия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28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предприятия как имущественный комплекс</w:t>
            </w:r>
            <w:r>
              <w:rPr>
                <w:rFonts w:ascii="Times New Roman" w:hAnsi="Times New Roman" w:eastAsia="Tinos" w:cs="Times New Roman"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0,2 % * стоимость имущества, имущественных и иных прав, входящих в состав ПИК,</w:t>
            </w: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но не  &lt; 0,2 % * ЦС,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и не &gt; 1 000 000 рублей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Сумма ГП округляется до полных 100 рублей в меньшую сторону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Стоимость имущества, имущественных и иных прав, входящих в состав ПИК -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установленная на дату обращения за совершением юридически значимого действия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Государственная регистрация права физического л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ица на земельный участок для ведения личного подсобного хозяйства, огородничества, садоводства, индивидуального гаражного или индивидуального жилищного строительства, либо на создаваемый или созданный на таком земельном участке объект недвижимого имущества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пп.24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700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Государственная регистрация прав, ограничений прав и обременений  земельных участков из земель сельскохозяйственного назначения, сделок с такими земельными участками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пп.25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всех категорий плательщиков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700 рублей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Государственная регистрация доли в праве общей собственности на земельные участки из земель сельскохозяйственного назначения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пп.26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всех категорий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плательщиков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200 рублей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Государственная регистрация прав, ограничений прав и обременений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объектов сетей газораспределения и сетей газопотребления, созданных при выполнении мероприятий  п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о подключению (технологическому присоединению)  объектов капитального строительства, а также государственная регистрация сделок с указанными объектами недвижимости, если такие сделки подлежат государственной регистрации в соответствии с федеральным законом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пп.26.1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всех категорий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плательщиков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Внесение изменений в записи ЕГРН о правах, об ограничениях прав и обременениях недвижимого имущества, за исключением внесения изменений и дополнений в регистрационную запись об ипотеке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пп.27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700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юридических лиц 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регистрация перехода права собственности на объект недвижимости в связи с реорганизацией юридического лица в форме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пп.27.1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юридических лиц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регистрация договора аренды, уступки прав требования по договорам аренды, если такие договоры подлежит регистрации в ЕГРН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пп.27.2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4 000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44 000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регистрация соглашения об изменении договора аренды, если такой договор зарегистрирован в ЕГРН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пп.27.2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700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регистрация соглашения о расторжении договора аренды, если такой договор зареги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стрирован в ЕГРН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пп.27.2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700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юридических лиц 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регистрация ипотеки, включая внесение в ЕГРН записи об ипотеке как обременении объекта недвижимости, за исключением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земельных участков из земель сельскохозяйственного назначения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(пп.25 п.1 ст.333.33 НК РФ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пп.28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1 000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юридических лиц 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4 000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Если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договор об ипотеке или договор, включающий соглашение об ипотеке, обеспечивающее исполнение обязательства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заключен между физическим лицом и юридическим лицом, государственная пошлина взимается в размерах, установленных для физических лиц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Внесение изменений и дополнений в регистрационную запись об ипотеке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пп.28.1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400 рублей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83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юридических лиц 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1 200 рублей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Если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соглашение об изменении заключен между физическим лицом и юридическим лицом, государственная пошлина взимается в размерах, установленных для физических лиц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регистрация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смены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залогодержателя вследствие уступки прав по основному обязательству, обеспеченному ипотекой, либо по договору об ипотеке, в том числе сделки по уступке прав требования, включая внесение в ЕГРН записи об ипотеке, осуществляемой при смене залогодержателя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пп.29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всех категорий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плательщиков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Государственная регистрация смены владельца закладной, в том числе сделки по уступке прав требования, включая внесение в ЕГРН записи об ипотеке, осуществляемой при смене владельца закладной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пп.29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всех категорий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плательщиков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1 000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Договор участия в долевом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пп.30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–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700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12 000 рублей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Дополнительное соглашение к договору участия в долевом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пп.30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всех категорий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плательщиков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350 рублей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1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Соглашение о расторжении договора участия в долевом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пп.30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всех категорий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плательщиков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350 рублей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Уступка прав требования по договору участия в долевом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пп.30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всех категорий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плательщиков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350 рублей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325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Государственная регистрация сервитута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пп.31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интересах физических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1 500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В интересах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6 000 рублей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tcW w:w="140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b4c6e7" w:themeColor="accent5" w:themeTint="66" w:fill="b4c6e7" w:themeFill="accent5" w:themeFillTint="66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8"/>
                <w:szCs w:val="28"/>
              </w:rPr>
              <w:t xml:space="preserve">Размер государственной пошлины за государственный кадастровый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3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Государственный кадастровый учет созданных (образованных) объектов недвижимости без одновременной государственной регистрации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пп.22.2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юридических лиц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24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Государственный кадастровый учет всех помещений и (или) машино-мест, расположенных в здании или сооружении, сведения о которых содержатся в ЕГРН в отношении каждого такого помещения и (или) машино-места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пп.22.2 п.1 ст.333.33, 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none" w:color="000000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  <w:t xml:space="preserve">24.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</w:tcBorders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Государственный кадастровый учет созданных здания, сооружения с одновременным государственным кадастровым учетом всех расположенных в них помещений, машино-мест, в том числе помещений, относящих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ся к имуществу общего пользования, государственная пошлина уплачивается только за осуществление государственного кадастрового учета здания,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пп.22.2 п.1 ст.333.33, п.1 ст.333.34-1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none" w:color="000000" w:sz="4" w:space="0"/>
            </w:tcBorders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</w:tcBorders>
            <w:tcW w:w="40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Государственный кадастровый учет в связи с изменением сведений об объекте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пп.22.3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1 000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nos" w:hAnsi="Tinos" w:eastAsia="Arial" w:cs="Arial"/>
                <w:sz w:val="24"/>
                <w:szCs w:val="24"/>
              </w:rPr>
            </w:pPr>
            <w:r>
              <w:rPr>
                <w:rFonts w:ascii="Tinos" w:hAnsi="Tinos" w:eastAsia="Arial" w:cs="Arial"/>
                <w:sz w:val="24"/>
                <w:szCs w:val="24"/>
              </w:rPr>
              <w:t xml:space="preserve">26.</w:t>
            </w:r>
            <w:r>
              <w:rPr>
                <w:rFonts w:ascii="Tinos" w:hAnsi="Tinos" w:eastAsia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nos" w:hAnsi="Tinos" w:eastAsia="Arial" w:cs="Arial"/>
                <w:sz w:val="24"/>
                <w:szCs w:val="24"/>
              </w:rPr>
            </w:pPr>
            <w:r>
              <w:rPr>
                <w:rFonts w:ascii="Tinos" w:hAnsi="Tinos" w:eastAsia="Arial" w:cs="Arial"/>
                <w:sz w:val="24"/>
                <w:szCs w:val="24"/>
              </w:rPr>
            </w:r>
            <w:r>
              <w:rPr>
                <w:rFonts w:ascii="Tinos" w:hAnsi="Tinos" w:eastAsia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При государственном кадастровом учете в связи с изменением характеристик здания, сооружения при реконструкции в случае, ес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ли изменяются характеристики помещений, машино-мест, либо образуются новые помещения, машино-места государственная пошлина уплачивается только за осуществление государственного кадастрового учета в связи с изменением характеристик таких здания, сооружения.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пп.22.3 п.1 ст.333.33, п.3 ст.333.34-1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1 000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none" w:color="000000" w:sz="4" w:space="0"/>
            </w:tcBorders>
            <w:tcW w:w="8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40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</w:tcBorders>
            <w:tcW w:w="670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рублей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40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e599" w:themeColor="accent4" w:themeTint="66" w:fill="ffe599" w:themeFill="accent4" w:themeFillTint="66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nos" w:cs="Times New Roman"/>
                <w:b/>
                <w:bCs/>
                <w:sz w:val="28"/>
                <w:szCs w:val="28"/>
              </w:rPr>
              <w:t xml:space="preserve">Размер государственной пошлины за государственный кадастровый учет и государственную регистрацию прав (ЕО)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Государственный кадастровый учет и государственную регистрацию прав на предприятие как имущественный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пп.21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0,2 % * стоимость имущества, имущественных и иных прав, входящих в состав ПИК,</w:t>
            </w: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но не  &lt; 0,2 % * ЦС,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и не &gt; 1 000 000 рублей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Стоимость имущества, имущественных и иных прав, входящих в состав ПИК -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установленная на дату обращения за совершением юридически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значимого действия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Государственный кадастровый учет и государственная регистрация прав на созданные (образованные) объекты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пп.22.4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3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6 000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0,02 % * КС + 2 000 рублей,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но не &lt; 0,02 % * ЦС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и не &gt; 500 000 рублей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КС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– установленная на дату обращения за совершением юридически значимого действия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W w:w="40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8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юридических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66 000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0,2 % * КС</w:t>
            </w: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22 000 рублей,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но не &lt; 0,2 % * ЦС</w:t>
            </w:r>
            <w:r>
              <w:rPr>
                <w:rFonts w:ascii="Times New Roman" w:hAnsi="Times New Roman" w:eastAsia="Tinos" w:cs="Times New Roman"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и не &gt; 1 000 000 рублей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i/>
                <w:iCs/>
                <w:sz w:val="24"/>
                <w:szCs w:val="24"/>
              </w:rPr>
              <w:t xml:space="preserve">КС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– установленная на дату обращения за совершением юридически значимого действия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Государственный кадастровый учет и государственная регистрация права собственности физического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лица на земельный участок для ведения личного подсобного хозяйства, огородничества, садоводства,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пп.24.1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Для физических лиц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1 000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Государственный кадастровый учет и государственная регистрация прав на земельный участок из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пп.25.1 п.1 ст.333.33 НК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Для всех категорий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плательщиков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nos" w:cs="Times New Roman"/>
                <w:b/>
                <w:bCs/>
                <w:sz w:val="24"/>
                <w:szCs w:val="24"/>
              </w:rPr>
              <w:t xml:space="preserve"> 1 000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40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НК РФ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Налоговый кодекс Российской Федерации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ЕГРН – Единый государственный реестр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ГП – государственная пошлина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КС – кадастровая стоимость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ЦС – цена сделки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ФЛ – физическое лицо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ЮЛ – юридическое лицо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ПИК – предприятие как имущественный комплекс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nos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&lt; – менее</w:t>
            </w:r>
            <w:r>
              <w:rPr>
                <w:rFonts w:ascii="Times New Roman" w:hAnsi="Times New Roman" w:eastAsia="Tinos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nos" w:cs="Times New Roman"/>
                <w:sz w:val="24"/>
                <w:szCs w:val="24"/>
              </w:rPr>
              <w:t xml:space="preserve">&gt; – 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134" w:right="850" w:bottom="1134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spacing w:after="200" w:line="276" w:lineRule="auto"/>
    </w:pPr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qFormat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qFormat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qFormat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qFormat/>
    <w:rPr>
      <w:sz w:val="48"/>
      <w:szCs w:val="48"/>
    </w:rPr>
  </w:style>
  <w:style w:type="character" w:styleId="676" w:customStyle="1">
    <w:name w:val="Subtitle Char"/>
    <w:basedOn w:val="663"/>
    <w:uiPriority w:val="11"/>
    <w:qFormat/>
    <w:rPr>
      <w:sz w:val="24"/>
      <w:szCs w:val="24"/>
    </w:rPr>
  </w:style>
  <w:style w:type="character" w:styleId="677" w:customStyle="1">
    <w:name w:val="Quote Char"/>
    <w:uiPriority w:val="29"/>
    <w:qFormat/>
    <w:rPr>
      <w:i/>
    </w:rPr>
  </w:style>
  <w:style w:type="character" w:styleId="678" w:customStyle="1">
    <w:name w:val="Intense Quote Char"/>
    <w:uiPriority w:val="30"/>
    <w:qFormat/>
    <w:rPr>
      <w:i/>
    </w:rPr>
  </w:style>
  <w:style w:type="character" w:styleId="679" w:customStyle="1">
    <w:name w:val="Header Char"/>
    <w:basedOn w:val="663"/>
    <w:uiPriority w:val="99"/>
    <w:qFormat/>
  </w:style>
  <w:style w:type="character" w:styleId="680" w:customStyle="1">
    <w:name w:val="Caption Char"/>
    <w:uiPriority w:val="99"/>
    <w:qFormat/>
  </w:style>
  <w:style w:type="character" w:styleId="681" w:customStyle="1">
    <w:name w:val="Footnote Text Char"/>
    <w:uiPriority w:val="99"/>
    <w:qFormat/>
    <w:rPr>
      <w:sz w:val="18"/>
    </w:rPr>
  </w:style>
  <w:style w:type="character" w:styleId="682" w:customStyle="1">
    <w:name w:val="Endnote Text Char"/>
    <w:uiPriority w:val="99"/>
    <w:qFormat/>
    <w:rPr>
      <w:sz w:val="20"/>
    </w:rPr>
  </w:style>
  <w:style w:type="character" w:styleId="683" w:customStyle="1">
    <w:name w:val="Заголовок 1 Знак"/>
    <w:link w:val="654"/>
    <w:uiPriority w:val="9"/>
    <w:qFormat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55"/>
    <w:uiPriority w:val="9"/>
    <w:qFormat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56"/>
    <w:uiPriority w:val="9"/>
    <w:qFormat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5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5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6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6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Заголовок Знак"/>
    <w:link w:val="706"/>
    <w:uiPriority w:val="10"/>
    <w:qFormat/>
    <w:rPr>
      <w:sz w:val="48"/>
      <w:szCs w:val="48"/>
    </w:rPr>
  </w:style>
  <w:style w:type="character" w:styleId="693" w:customStyle="1">
    <w:name w:val="Подзаголовок Знак"/>
    <w:link w:val="711"/>
    <w:uiPriority w:val="11"/>
    <w:qFormat/>
    <w:rPr>
      <w:sz w:val="24"/>
      <w:szCs w:val="24"/>
    </w:rPr>
  </w:style>
  <w:style w:type="character" w:styleId="694" w:customStyle="1">
    <w:name w:val="Цитата 2 Знак"/>
    <w:link w:val="712"/>
    <w:uiPriority w:val="29"/>
    <w:qFormat/>
    <w:rPr>
      <w:i/>
    </w:rPr>
  </w:style>
  <w:style w:type="character" w:styleId="695" w:customStyle="1">
    <w:name w:val="Выделенная цитата Знак"/>
    <w:link w:val="713"/>
    <w:uiPriority w:val="30"/>
    <w:qFormat/>
    <w:rPr>
      <w:i/>
    </w:rPr>
  </w:style>
  <w:style w:type="character" w:styleId="696" w:customStyle="1">
    <w:name w:val="Верхний колонтитул Знак"/>
    <w:link w:val="715"/>
    <w:uiPriority w:val="99"/>
    <w:qFormat/>
  </w:style>
  <w:style w:type="character" w:styleId="697" w:customStyle="1">
    <w:name w:val="Footer Char"/>
    <w:uiPriority w:val="99"/>
    <w:qFormat/>
  </w:style>
  <w:style w:type="character" w:styleId="698" w:customStyle="1">
    <w:name w:val="Нижний колонтитул Знак"/>
    <w:link w:val="716"/>
    <w:uiPriority w:val="99"/>
    <w:qFormat/>
  </w:style>
  <w:style w:type="character" w:styleId="699">
    <w:name w:val="Hyperlink"/>
    <w:uiPriority w:val="99"/>
    <w:unhideWhenUsed/>
    <w:rPr>
      <w:color w:val="0563c1" w:themeColor="hyperlink"/>
      <w:u w:val="single"/>
    </w:rPr>
  </w:style>
  <w:style w:type="character" w:styleId="700" w:customStyle="1">
    <w:name w:val="Текст сноски Знак"/>
    <w:link w:val="717"/>
    <w:uiPriority w:val="99"/>
    <w:qFormat/>
    <w:rPr>
      <w:sz w:val="18"/>
    </w:rPr>
  </w:style>
  <w:style w:type="character" w:styleId="701" w:customStyle="1">
    <w:name w:val="Символ сноски"/>
    <w:uiPriority w:val="99"/>
    <w:unhideWhenUsed/>
    <w:qFormat/>
    <w:rPr>
      <w:vertAlign w:val="superscript"/>
    </w:rPr>
  </w:style>
  <w:style w:type="character" w:styleId="702">
    <w:name w:val="footnote reference"/>
    <w:rPr>
      <w:vertAlign w:val="superscript"/>
    </w:rPr>
  </w:style>
  <w:style w:type="character" w:styleId="703" w:customStyle="1">
    <w:name w:val="Текст концевой сноски Знак"/>
    <w:link w:val="718"/>
    <w:uiPriority w:val="99"/>
    <w:qFormat/>
    <w:rPr>
      <w:sz w:val="20"/>
    </w:rPr>
  </w:style>
  <w:style w:type="character" w:styleId="704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5">
    <w:name w:val="endnote reference"/>
    <w:rPr>
      <w:vertAlign w:val="superscript"/>
    </w:rPr>
  </w:style>
  <w:style w:type="paragraph" w:styleId="706">
    <w:name w:val="Title"/>
    <w:basedOn w:val="653"/>
    <w:next w:val="707"/>
    <w:link w:val="692"/>
    <w:uiPriority w:val="10"/>
    <w:qFormat/>
    <w:pPr>
      <w:contextualSpacing/>
      <w:spacing w:before="300"/>
    </w:pPr>
    <w:rPr>
      <w:sz w:val="48"/>
      <w:szCs w:val="48"/>
    </w:rPr>
  </w:style>
  <w:style w:type="paragraph" w:styleId="707">
    <w:name w:val="Body Text"/>
    <w:basedOn w:val="653"/>
    <w:pPr>
      <w:spacing w:after="140"/>
    </w:pPr>
  </w:style>
  <w:style w:type="paragraph" w:styleId="708">
    <w:name w:val="List"/>
    <w:basedOn w:val="707"/>
    <w:rPr>
      <w:rFonts w:ascii="PT Astra Serif" w:hAnsi="PT Astra Serif" w:cs="Noto Sans Devanagari"/>
    </w:rPr>
  </w:style>
  <w:style w:type="paragraph" w:styleId="709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710">
    <w:name w:val="index heading"/>
    <w:basedOn w:val="706"/>
  </w:style>
  <w:style w:type="paragraph" w:styleId="711">
    <w:name w:val="Subtitle"/>
    <w:basedOn w:val="653"/>
    <w:next w:val="653"/>
    <w:link w:val="693"/>
    <w:uiPriority w:val="11"/>
    <w:qFormat/>
    <w:pPr>
      <w:spacing w:before="200"/>
    </w:pPr>
    <w:rPr>
      <w:sz w:val="24"/>
      <w:szCs w:val="24"/>
    </w:rPr>
  </w:style>
  <w:style w:type="paragraph" w:styleId="712">
    <w:name w:val="Quote"/>
    <w:basedOn w:val="653"/>
    <w:next w:val="653"/>
    <w:link w:val="694"/>
    <w:uiPriority w:val="29"/>
    <w:qFormat/>
    <w:pPr>
      <w:ind w:left="720" w:right="720"/>
    </w:pPr>
    <w:rPr>
      <w:i/>
    </w:rPr>
  </w:style>
  <w:style w:type="paragraph" w:styleId="713">
    <w:name w:val="Intense Quote"/>
    <w:basedOn w:val="653"/>
    <w:next w:val="653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4" w:customStyle="1">
    <w:name w:val="Колонтитул"/>
    <w:basedOn w:val="653"/>
    <w:qFormat/>
  </w:style>
  <w:style w:type="paragraph" w:styleId="715">
    <w:name w:val="Header"/>
    <w:basedOn w:val="653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6">
    <w:name w:val="Footer"/>
    <w:basedOn w:val="65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7">
    <w:name w:val="footnote text"/>
    <w:basedOn w:val="653"/>
    <w:link w:val="700"/>
    <w:uiPriority w:val="99"/>
    <w:semiHidden/>
    <w:unhideWhenUsed/>
    <w:pPr>
      <w:spacing w:after="40" w:line="240" w:lineRule="auto"/>
    </w:pPr>
    <w:rPr>
      <w:sz w:val="18"/>
    </w:rPr>
  </w:style>
  <w:style w:type="paragraph" w:styleId="718">
    <w:name w:val="endnote text"/>
    <w:basedOn w:val="653"/>
    <w:link w:val="703"/>
    <w:uiPriority w:val="99"/>
    <w:semiHidden/>
    <w:unhideWhenUsed/>
    <w:pPr>
      <w:spacing w:after="0" w:line="240" w:lineRule="auto"/>
    </w:pPr>
    <w:rPr>
      <w:sz w:val="20"/>
    </w:rPr>
  </w:style>
  <w:style w:type="paragraph" w:styleId="719">
    <w:name w:val="toc 1"/>
    <w:basedOn w:val="653"/>
    <w:next w:val="653"/>
    <w:uiPriority w:val="39"/>
    <w:unhideWhenUsed/>
    <w:pPr>
      <w:spacing w:after="57"/>
    </w:pPr>
  </w:style>
  <w:style w:type="paragraph" w:styleId="72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72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72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72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72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72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72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72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728">
    <w:name w:val="TOC Heading"/>
    <w:uiPriority w:val="39"/>
    <w:unhideWhenUsed/>
    <w:pPr>
      <w:spacing w:after="200" w:line="276" w:lineRule="auto"/>
    </w:pPr>
  </w:style>
  <w:style w:type="paragraph" w:styleId="729">
    <w:name w:val="table of figures"/>
    <w:basedOn w:val="653"/>
    <w:next w:val="653"/>
    <w:uiPriority w:val="99"/>
    <w:unhideWhenUsed/>
    <w:qFormat/>
    <w:pPr>
      <w:spacing w:after="0"/>
    </w:pPr>
  </w:style>
  <w:style w:type="paragraph" w:styleId="730">
    <w:name w:val="No Spacing"/>
    <w:basedOn w:val="653"/>
    <w:uiPriority w:val="1"/>
    <w:qFormat/>
    <w:pPr>
      <w:spacing w:after="0" w:line="240" w:lineRule="auto"/>
    </w:pPr>
  </w:style>
  <w:style w:type="paragraph" w:styleId="731">
    <w:name w:val="List Paragraph"/>
    <w:basedOn w:val="653"/>
    <w:uiPriority w:val="34"/>
    <w:qFormat/>
    <w:pPr>
      <w:contextualSpacing/>
      <w:ind w:left="720"/>
    </w:pPr>
  </w:style>
  <w:style w:type="paragraph" w:styleId="732" w:customStyle="1">
    <w:name w:val="Содержимое таблицы"/>
    <w:basedOn w:val="653"/>
    <w:qFormat/>
    <w:pPr>
      <w:widowControl w:val="off"/>
      <w:suppressLineNumbers/>
    </w:pPr>
  </w:style>
  <w:style w:type="paragraph" w:styleId="733" w:customStyle="1">
    <w:name w:val="Заголовок таблицы"/>
    <w:basedOn w:val="732"/>
    <w:qFormat/>
    <w:pPr>
      <w:jc w:val="center"/>
    </w:pPr>
    <w:rPr>
      <w:b/>
      <w:bCs/>
    </w:rPr>
  </w:style>
  <w:style w:type="table" w:styleId="734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5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6">
    <w:name w:val="Plain Table 3"/>
    <w:basedOn w:val="66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6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6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48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51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 w:customStyle="1">
    <w:name w:val="Таблица простая 1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6" w:customStyle="1">
    <w:name w:val="Таблица простая 21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7" w:customStyle="1">
    <w:name w:val="Таблица простая 31"/>
    <w:basedOn w:val="66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basedOn w:val="66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basedOn w:val="66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1 светлая1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31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41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783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784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85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786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 w:customStyle="1">
    <w:name w:val="Таблица-сетка 5 темная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Таблица-сетка 7 цветная1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1 светлая1"/>
    <w:basedOn w:val="66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21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23" w:customStyle="1">
    <w:name w:val="Список-таблица 31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41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Список-таблица 6 цветная1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5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47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48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49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50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51" w:customStyle="1">
    <w:name w:val="Список-таблица 7 цветная1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59" w:customStyle="1">
    <w:name w:val="Lined - Accent 1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60" w:customStyle="1">
    <w:name w:val="Lined - Accent 2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61" w:customStyle="1">
    <w:name w:val="Lined - Accent 3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62" w:customStyle="1">
    <w:name w:val="Lined - Accent 4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63" w:customStyle="1">
    <w:name w:val="Lined - Accent 5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64" w:customStyle="1">
    <w:name w:val="Lined - Accent 6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65" w:customStyle="1">
    <w:name w:val="Bordered &amp; Lined - Accent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66" w:customStyle="1">
    <w:name w:val="Bordered &amp; Lined - Accent 1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67" w:customStyle="1">
    <w:name w:val="Bordered &amp; Lined - Accent 2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68" w:customStyle="1">
    <w:name w:val="Bordered &amp; Lined - Accent 3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69" w:customStyle="1">
    <w:name w:val="Bordered &amp; Lined - Accent 4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70" w:customStyle="1">
    <w:name w:val="Bordered &amp; Lined - Accent 5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71" w:customStyle="1">
    <w:name w:val="Bordered &amp; Lined - Accent 6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72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3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75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76" w:customStyle="1">
    <w:name w:val="Bordered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77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78" w:customStyle="1">
    <w:name w:val="Bordered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A213-BD68-499F-80D4-1D6272EF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26</cp:revision>
  <dcterms:created xsi:type="dcterms:W3CDTF">2024-12-12T14:31:00Z</dcterms:created>
  <dcterms:modified xsi:type="dcterms:W3CDTF">2024-12-19T06:02:08Z</dcterms:modified>
</cp:coreProperties>
</file>