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afterAutospacing="0" w:line="240" w:lineRule="auto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Доклад </w:t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главного специалиста-эксперта </w:t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 отдела правового обеспечения </w:t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  <w:r/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Управления Росреестра по Алтайскому краю</w:t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 Ивановой В.О.</w:t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доклада: о нарушениях, допущенных кадастровыми инженерами при осуществлении кадастровых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 регистрации прав поступили заявления об учете изменений объекта недвижимости – земельного участка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приложением межевого плана, подготовленного кадастровым инженером. Межевой план подготовлен                     в результате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выполнения кадастровых работ в связи с уточнением описания местоположения границ и (или) площади земельного участка                                        и одновременным ут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очнением (изменением)  части границы смежных земельных участков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целью исправления ошибки в описании местоположения их границ и (или) площади.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 представленному межевому плану один из земельных участков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уточняется как смежный, в следствие чего, его площадь уменьшается с 129 кв.м. до 17 кв.м., что противоречит нормам п. 42 ч. 1 ст. 26 Закона № 218-ФЗ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площадь земельного участка, определенная с учетом установленных в соответствии с федеральным законом требований, отличается от площади земельного участка, указанной в соответствующем утвержденном проекте межевания территории, схеме расположения земельного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участка на кадастровом плане территории, проектной документации лесных участков, более чем на десять процентов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Кадастровый инженер в заключении к межевому плану указывает о наличии реестровой ошибки в сведени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ях о координатах и площади смежного земельного участка. Согласно сведений ЕГРН данный смежный земельный участок площадью 129 кв.м,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поставлен на государственный кадастровый учет на основании схемы расположения земельного участка, утвержденной Приказом МКУ "УМИ Администрации города Бийска"от 06.06.2023, включенной в состав межевого пла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на, подготовленного другим кадастровым инженером.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ч. 15 ст. 11.10 Земельного Кодекса Российской Федерации срок действия решения об утверждении схемы расположения земельного учас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тка составляет два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года. При эт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ом, решения органа власти об отмене ранее утвержденной схемы в орган регистрации прав не поступало.             В связи с вышеизложенным, внесение сведений в ЕГРН по представленному межевому плану государственному регистратору не представилось возможным.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устранения причин приостановления, государственный регистратор рекомендовал заявителям  обратится в орган местного самоуправления по вопросу внесения изменений в схему расположения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вышеуказанного смежного земельного участка.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Также  отметим следующие нарушения,  </w:t>
      </w:r>
      <w:r>
        <w:rPr>
          <w:rFonts w:ascii="Times New Roman" w:hAnsi="Times New Roman" w:eastAsia="Times New Roman" w:cs="Times New Roman"/>
          <w:color w:val="232629"/>
          <w:sz w:val="28"/>
          <w:szCs w:val="28"/>
          <w:highlight w:val="white"/>
          <w:u w:val="none"/>
        </w:rPr>
        <w:t xml:space="preserve">допускаемые кадастровыми инженерами  при подготовке технической документации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результате анализа пакетов документов в рамках «Единого окна»                   по техническим планам существуют постоянные ошибки кадастровых инженеров, а именно: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составлении декларации в соответствии с Приказом Росреестра от 04 марта 2022 года №П/0072 допускаются ошибки: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нарушение п.11 Приказа в строке «Назначение здания» указывается одно из предусмотренных пунктом 9 части 5 статьи 8 Федерального закона №218-ФЗ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нежилое, многоквартирный дом, жилой дом, садовый дом, гараж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Вместо жилой дом указывают жилое, вместо гараж, или садовый дом-нежилое.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нарушение п.16 Приказа в строке указывают наименование объекта недвижимости (Жилой дом, гараж и т.д.). Согласно части 18 ст 70 Федерального закона №218-ФЗ ТОЛЬКО в 3-х случаях указывается наименование объекта: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9"/>
        <w:numPr>
          <w:ilvl w:val="0"/>
          <w:numId w:val="2"/>
        </w:numPr>
        <w:contextualSpacing w:val="0"/>
        <w:ind w:left="0" w:right="0" w:firstLine="709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здания или сооружения в соответствии со сведениями о наименовании, содержащимися в разрешении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numPr>
          <w:ilvl w:val="0"/>
          <w:numId w:val="2"/>
        </w:numPr>
        <w:contextualSpacing w:val="0"/>
        <w:ind w:left="0" w:right="0" w:firstLine="709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здания или сооружения в соответствии со сведениями о наименовании, содержащимися в едином государственном реестре объектов культурного наследия (памятников истории и культуры) народов Российской Федерации, если такое здание или такое сооружение является об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ъектом культурного наследия и включено в указанный реестр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numPr>
          <w:ilvl w:val="0"/>
          <w:numId w:val="2"/>
        </w:numPr>
        <w:contextualSpacing w:val="0"/>
        <w:ind w:left="0" w:right="0" w:firstLine="709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автомобильной дороги общего пользования в соответствии со сведениями о наименовании, содержащимися в системе контроля за формированием и использованием средств дорожных фондов, если соответствующее сооружение является составной частью автомобильной дороги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общего пользования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иных случаях наименование объекта НЕ УКАЗЫВАЕТСЯ.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keepLines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нарушение п.17 Приказа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 </w:t>
      </w:r>
      <w:hyperlink r:id="rId12" w:tooltip="https://www.consultant.ru/document/cons_doc_LAW_480987/3a59a39e14eabf81c02ff86382a21810f46ad7d1/#dst100040" w:history="1">
        <w:r>
          <w:rPr>
            <w:rStyle w:val="817"/>
            <w:rFonts w:ascii="Times New Roman" w:hAnsi="Times New Roman" w:eastAsia="Times New Roman" w:cs="Times New Roman"/>
            <w:color w:val="1a0dab"/>
            <w:sz w:val="28"/>
            <w:szCs w:val="28"/>
            <w:highlight w:val="white"/>
            <w:u w:val="single"/>
          </w:rPr>
          <w:t xml:space="preserve">строке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 "Вид (виды) разрешенного использования объекта недвижимости" указывается вид (виды) разрешенного использования здания, сооружения, помещения, в том числе выбранный (выбранные) из числа установленных градостроительным регламентом применительно к территориа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льной зоне, в границах которой расположен соответствующий объект недвижимости, с учетом ограничений использования земельного участка, установленных в соответствии с земельным и иным законодательством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Кадастровые инженеры как правило ничего не указывают.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нарушение п.20 Приказа кадастровые инженеры в декларации указывают площадь объекта.  Согласно Приказа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казание сведений о площади здания осуществляется в случаях, если законодательством Российской Федерации предусмотрено осуществление государственного кадастрового учета и (или) государственной регистрации прав на такой объект недвижимости на основании Декл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арации </w:t>
        <w:br/>
      </w:r>
      <w:r>
        <w:rPr>
          <w:rFonts w:ascii="Times New Roman" w:hAnsi="Times New Roman" w:eastAsia="Times New Roman" w:cs="Times New Roman"/>
          <w:color w:val="ff0000"/>
          <w:sz w:val="28"/>
          <w:szCs w:val="28"/>
          <w:highlight w:val="white"/>
        </w:rPr>
        <w:t xml:space="preserve">без подготовки технического плана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То есть,  при подготовке технического плана на основании декларации площадь указывается только в самом тех.плане в соответствии с Приказом Росреестра № П/0082 от 15.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03.2022 «Об установлении  формы технического плана, требований к его подготовке и состава содержащихся в нем сведений».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Стоит отметить, что подготовка технического плана должна осуществляться на основ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ании декларации и в соответствии с Приказом от 15 марта 2022г. №П/0082. Из этого следует, что сведения указанные в декларации (такие как назначение, вид разрешенного использования) должны быть заполнены и в тех.плане (XML-схеме), а не только в декларации.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</w:rPr>
    </w:r>
  </w:p>
  <w:p>
    <w:pPr>
      <w:pStyle w:val="685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7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5"/>
    <w:next w:val="835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6"/>
    <w:link w:val="677"/>
    <w:uiPriority w:val="10"/>
    <w:rPr>
      <w:sz w:val="48"/>
      <w:szCs w:val="48"/>
    </w:rPr>
  </w:style>
  <w:style w:type="paragraph" w:styleId="679">
    <w:name w:val="Subtitle"/>
    <w:basedOn w:val="835"/>
    <w:next w:val="835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6"/>
    <w:link w:val="679"/>
    <w:uiPriority w:val="11"/>
    <w:rPr>
      <w:sz w:val="24"/>
      <w:szCs w:val="24"/>
    </w:rPr>
  </w:style>
  <w:style w:type="paragraph" w:styleId="681">
    <w:name w:val="Quote"/>
    <w:basedOn w:val="835"/>
    <w:next w:val="835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5"/>
    <w:next w:val="835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5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6"/>
    <w:link w:val="685"/>
    <w:uiPriority w:val="99"/>
  </w:style>
  <w:style w:type="paragraph" w:styleId="687">
    <w:name w:val="Footer"/>
    <w:basedOn w:val="83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6"/>
    <w:link w:val="687"/>
    <w:uiPriority w:val="99"/>
  </w:style>
  <w:style w:type="paragraph" w:styleId="689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List Paragraph"/>
    <w:basedOn w:val="83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www.consultant.ru/document/cons_doc_LAW_480987/3a59a39e14eabf81c02ff86382a21810f46ad7d1/#dst10004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Жаравина Галина Евгеньевна</dc:creator>
  <cp:revision>9</cp:revision>
  <dcterms:created xsi:type="dcterms:W3CDTF">2024-09-25T08:43:00Z</dcterms:created>
  <dcterms:modified xsi:type="dcterms:W3CDTF">2025-03-03T09:39:30Z</dcterms:modified>
</cp:coreProperties>
</file>