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доклада: о нарушениях, допущенных кадастровыми инженерами при осуществлении кадастровых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В Управление поступило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о государственном кадастровом учете в отношении земельного участка, а име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 об уточнении местоположения объекта недвижимости на земельном участке на основании Межевого плана от 09.07.2025 года, подготовленного кадастровым инженером К.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Согласно сведениям Единого государственного реестра недвижимости земельный участок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имеет статус архивного, то есть снят с кадастрового учета. Действия по снятию с кадастрового учета указанного земельного участка произведены 21.10.2019.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Приказом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Росреестра от 14.12.2021 N П/0592 утверждены фо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рма                   и состав сведений межевого плана, требования к его подготовке.                              В соответствии с указанным приказом в составе межевого плана подготавливаемого при уточнении земельного участка должны содержатся сведения о 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арактеристиках уточняемого земельного участка с кадастровым номером. В том числе указывается площадь существующего земельного участка, кадастровый номер или иной государственный учетный номер (инвентарный) объекта недвижимости, расположенного на земельном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участке.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В свя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зи с тем, что фактически уточняемый земельный участок не стоит на кадастровом учете в связи с его снятием, указанный в Межевом плане от 09.07.2025 кадастровый номер, сведения о площади и другие характеристики земельного участка взяты из архивного земельног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участка, </w:t>
        <w:br/>
        <w:t xml:space="preserve">а предоставленный межевой план не соответствует установленной форме и составу сведений межевого плана, так как при подготовке межевого плана должны быть использованы сведения об актуальных земельных участках, стоящих на кадастровом учете.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 регистрации прав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поступило Обращение от Управления имущественных отношений Алтайского края, действующего через представителя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связи с образованием земельного участка из земель, находящихся в государственной или муниципальной собственности,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уточнением местоположения смежных границ земельных участк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 </w:t>
        <w:br/>
        <w:t xml:space="preserve">с кадастровыми номерами :23, :1439, на основании Межевого плана </w:t>
        <w:br/>
        <w:t xml:space="preserve">от 07.10.2025 г., подготовленного кадастровым инженером Б.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Согласно представленного межевого плана, границы образуемого земельного участка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пересекают границы уточняемых земельных участков </w:t>
        <w:br/>
        <w:t xml:space="preserve">с кадастровым номером :23,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кадастровым номером :1439.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Государственный регистратор рекомендовал Заявителю обратиться </w:t>
        <w:br/>
        <w:t xml:space="preserve">к кадастровому инженеру, для устранения причин приостановления и внесения измене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ний в межевой план в соответствии с выявленными замечаниями.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highlight w:val="none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Управление поступило заявление о постановке на государственный кадастровый учет земельного участка.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Вместе с заявлением представлен межевой план от 19.09.2025, подготовленный в связи с образованием земельного участка из земель, находящихся в государственной или муниципальной собст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При загрузке  государственным регистратором координат на карту было уста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новлено следующее: земельный участок образуется из земель лесного фонда и имеет пересечение с лесным земельным участком с кадастровым номером: 9.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Исходя из ч.11 ст.22 Закона № 218-ФЗ, границы земельного участка </w:t>
        <w:br/>
        <w:t xml:space="preserve">не должны пересекать границы террито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риальных зон, лесничеств.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По сведениям представленного межевого плана земельный участок образуется из земель категории «земли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аселенных пунктов» с видом разрешенного использования «Малоэтажная многоквартирная жилая застройка». На образуемом земельном участке расположен многоквартирный дом.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огласно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 22 Закона № 218-ФЗ межевой план должен соответствовать требованиям к его подготовке. В соответствии с п. 22 приказа Росреестра от 14.12.2021 N П/0592 "Об утверждении формы и состава сведений межевого плана, требований к его подготовке" для подготовки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жевого плана используются, в том числе: - документы, определяющие (определявшие) в соответствии с законодательством Российской Федерации местоположение границ земельного участка (земельных участков) при его (их) образовании, в том числе утвержденные проект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границ земельных участков, акты об отводе земельных участков, схемы расположения земельного участка или земельных участков на кадастровом плане территории, решения, предусматривающие утверждение схемы расположения земельного участка или земельных участко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на кадастровом плане территории, решения о предварительном согласовании предоставления земельных участков, решения об изъятии земельного участка и (или) расположенного на нем объекта недвижимости для государственных или муниципальных нужд; - решения о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едоставлении земельных участков, иные документы о правах на земельные участки.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В данном случае, в представленном межевом плане отсутствует документ, на основании которого образует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земельный участок.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Осуществление действий по государственному кадастровому учету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было приостановлено  по основаниям, предусмотренным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п. 5 части 1 статьи 26 Закона № 218-ФЗ (не представлены документы, необходимые для осуществления государственного кадастрового учета и (или) государственной регистрации прав), п. 7 части 1 статьи 26 Закона (форма и (или) содержание документа, представленно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для осуществления государстве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нного кадастрового учета и (или) государственной регистрации прав, не соответствуют требованиям законодательства Российской Федерации) и п.20 части 1 статьи 26 (границы земельного участка,                                 о государственном кадастровом учете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которого и (или) государственной регистрации прав на который представлено заявление, пересекают границы другого земельного участка, сведения о котором содержатся в Едином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госуд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арственном реестре недвижимости.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 Кроме того, считаем необходимым довести до Вашего сведения  информацию о порядке изменения материала стен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Обращаем внимание на то, что материал стен может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быть изменен только в случаях если: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 ранее выданных разрешительных документах содержится ошибка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такая ошибка подтверждена уполномоченным органом, выдавшим такие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 ранее представленном на ГКУ техническом плане материал стен указан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не в соответствии с разрешительными документами, при этом необходимо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учитывать, что в справочнике кодов материала стен указаны не все материалы.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Поэтому, если не установлен код для конкретного материала стен (например,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сэндвич-панели и т.п), то, полагаем, что должен быть выбран код  «из прочих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материалов», «иное»;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осуществлена такая реконструкция здания, в результате которой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действительно был изменен материал стен, что должно подтверждаться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проектной документацией (т.е. в такой документации не просто должен быть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указан материал стен, а должны быть описаны работы в результате которых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изменился материал стен), и, соответственно, в установленных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законодательством случаях разрешительной документацией.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Напоминаем также, что исключение сведений о наименовании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объекта </w:t>
        <w:br/>
        <w:t xml:space="preserve">и внесение сведений о виде разрешенного использования (далее-ВРИ) объекта должно осуществляться строго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рамках, установленных частью 19 статьи 70 Федерального закона от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13.07.2015 №218-ФЗ «О государственной регистрации недвижимости»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 о наименовании здания, сооружения или помещения могут быть исключены из Единого государственного реестра недвижимости по заявлению собственника такого объекта недвижимости при наличии в Едином государственном реестре недвижимости сведений о виде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Выбираемый заявителем вид разрешенного использования объекта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капитального строительства должен соответствовать виду разрешенного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использования земельного участка, объекта недвижимости.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Кроме того, при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внесении ВРИ государственный регистратор проверяет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описание такого ВРИ, данное в Классификаторе видов разрешенного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использования земельных участков, утвержденном приказом Росреестра </w:t>
        <w:br/>
        <w:t xml:space="preserve">от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10.11.2020 N П/0412, то есть соответствует ли объект, в отношении которого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вносится данный ВРИ, установленным параметрам (например, площади,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функциональному использованию и т.п.)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t xml:space="preserve">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Так, например, если ранее было внесено наименование – «магазин», </w:t>
        <w:br/>
        <w:t xml:space="preserve">то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может быть внесено ВРИ – «гостиничные услуги» без наличия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подтверждающих документов.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том случае, если внесение сведений о виде разрешенного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использования свидетельствует о создании нового или иного объекта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отличие от того, сведения о котором внесены в ЕГРН, то усматривается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необходимость представления заявления о государственном кадастровом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учете не только в связи с внесением (изменением) вида разрешенного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использования, но и в связи с изменением иных характеристик объекта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недвижимости с представлением документов, установленных действующим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законодательством (например, разрешение на ввод объекта </w:t>
        <w:br/>
        <w:t xml:space="preserve">в эксплуатацию,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созданного в результате реконструкции, а при необходимости, и об изменении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вида разрешенного использования земельного участка).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96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</w:pPr>
    <w:fldSimple w:instr="PAGE \* MERGEFORMAT">
      <w:r>
        <w:t xml:space="preserve">1</w:t>
      </w:r>
    </w:fldSimple>
    <w:r/>
    <w:r/>
  </w:p>
  <w:p>
    <w:pPr>
      <w:pStyle w:val="687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Жаравина Галина Евгеньевна</dc:creator>
  <cp:revision>22</cp:revision>
  <dcterms:created xsi:type="dcterms:W3CDTF">2024-09-25T08:43:00Z</dcterms:created>
  <dcterms:modified xsi:type="dcterms:W3CDTF">2025-10-30T07:48:35Z</dcterms:modified>
</cp:coreProperties>
</file>