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22"/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10063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Наименование ТО, допустившего нарушение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Позиция Росреестра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-107" w:right="-144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Управление Росреестра 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по Республике Дагестан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Схема расположения земельного участка подготовлена в форме документа на бумажном носителе, тогда как в решении об утверждении такой схемы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отсутствуют сведения о предоставлении земельного участка гражданину без проведения торгов (нарушение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части 9 статьи 11.10 ЗК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).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06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Согласно схеме расположения земельного участка на кадастровом плане территории образуемый земельный участок расположен в зоне СХ-1, вид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разрешенного использования -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Ведение личного подсобного хозяйства на полевых участках», при этом в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указанной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территориальной зоне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ПЗЗ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«село Советское»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Магарамкентского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Республики Дагестан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2024 г.)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такой вид разрешенного использования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земельного участка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отсутствует.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В разделе «Заключение кадаст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рового инженера» межевого плана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отсутствует информация о том, в какой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территориальной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зоне расположен образуемый земельный участок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06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933700" cy="2255111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0388845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45522" cy="22641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1.00pt;height:177.57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Согласно графической части технического плана, построенный объект не соответствует параметрам, установленным для объекта индивидуального жилищного строительства пунктом 39 статьи 1 ГрК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highlight w:val="yellow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06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В с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ведениях о земельном участке, образованном путем объединения двух земельны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х участков, указан вид разрешенного использования – магазины, при этом в отношении исходных земельных участков содержались сведения о различных видах разрешенного использования (у одного земельного участка – магазины, у второго - оказание услуг населению).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В силу ч. 3 ст. 11. 2 Земельного кодекса РФ образуемый земельный участок наследует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разрешенное использование исходных земельных участков.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Кроме того,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площадь земельных участков, образованных в результате раздела или объединения, должна соответствовать площади исходных земельных участков и не превышать площадь исходных земельных участков.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В данном случае происходит объединение двух земельных участков площадью 12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кв.м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и </w:t>
              <w:br/>
              <w:t xml:space="preserve">42 кв.м, при этом площадь образованного земельного участка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в межевом плане - 55 кв.м, что не соответствует сумме площадей исходных земельных участков (54 кв.м).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Управление Росреестра по Кабардино-Балкарской Республике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Заявление и технический план представлены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кадастровым инженером, при этом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документ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свидетельствующий о приемке заказчиком результатов кадастровых работ и его согласии с содержанием подготовленных по результатам таких работ документов, не представлен (нарушение части 2.1-1 статьи 36 Закона № 221-ФЗ).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Обращаем внимание на необходимость предоставления с заявлениями акта приемки выполненных работ.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ind w:left="-107" w:right="-144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Управление Росреестра по Республике Ингушетия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Как указано в техническом плане, построенный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жилой дом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расположен в границах земельног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о участка с кадастровым номером</w:t>
            </w:r>
            <w:r>
              <w:rPr>
                <w:rFonts w:ascii="PT Astra Serif" w:hAnsi="PT Astra Serif" w:eastAsia="PT Astra Serif" w:cs="PT Astra Serif"/>
                <w:color w:val="auto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.., при этом согласно сведениям ЕГРН (проверка ФГИС ЕГРН) - «ОКС расположен в границах иного ЗУ, который не указан в ТП».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yellow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86355" cy="2476500"/>
                      <wp:effectExtent l="0" t="0" r="508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270791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rcRect l="2847" t="0" r="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0743" cy="247851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24.12pt;height:195.0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yellow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Земельные участки с кадастровыми номерами .. поставлены на ГКУ и зарегистрировано право собственности на них по заявлению №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.., при этом местоположение указанных земельных участков полностью совпадает (расположены друг на друге). 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Согласно представленному с заявлением №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.. межевому плану образуется 4 земельных участка путем раздела земельного участка с кадастровым номером </w:t>
            </w:r>
            <w:r>
              <w:rPr>
                <w:rFonts w:ascii="PT Astra Serif" w:hAnsi="PT Astra Serif" w:eastAsia="PT Astra Serif" w:cs="PT Astra Serif"/>
                <w:color w:val="auto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..,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огда как по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результатам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осуществления учетно-регистрационных действий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было сформировано 5 земельных участков и выданы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выписки 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з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ЕГРН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об основных характеристиках и зарегистрированных правах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на 5 земельных участков, в том числе на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земельные участки с кадастровыми номерами ..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, являющиеся, как представляется, одним и тем же земельным участком.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60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-107" w:right="-144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Управление Росреестра по Карачаево-Черкесской Республике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Принято решение об осуществлении ГКУ (изменение основных характеристик объекта недвижимости) в отсутствие оплаты государственной пошлины.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При этом для д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анного вида заявления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предусмотрена оплата государственной пошлины в соответствии с п. 22. 3 ч.1 ст. 333. 33 Налогового кодекса РФ - 1000 руб.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При наличии оплаченной государственной пошлины имелись основания для приоста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новления.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Технический план подготовлен в связи с изменением сведений о назначении и наименовании здания с кадастровым номером ..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, внесены изменения о назначении – «нежилое» на «жилой дом», наименовании с «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Здание спортивного зала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» на «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Жилой дом»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По сведениям ЕГРН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объе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кт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недвижимости с кадастровым номером ..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поставлен на ГКУ и зарегистрировано право собственности на него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15.07.2025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на основании соответствующего заявления, технического плана и разрешения на ввод объекта недвижимости в эксплуатацию, датированного 08.07.2025, согласно которому назначение объекта – «нежилое», наименование – «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Здание спортивного зала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Документы, подтверждающие изменение назначения и наименования здания, н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представлены.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Кроме того, «жилой дом» не является на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менованием объекта недвижимости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Подобные изменения недопустимы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в отсутствие документов, подтверждающих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изменение назначения и наименования здания.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Изменение вида разрешенного использования земельного участка не является основанием для изменения назначения здания.</w:t>
            </w:r>
            <w:r>
              <w:rPr>
                <w:rFonts w:ascii="PT Astra Serif" w:hAnsi="PT Astra Serif" w:cs="PT Astra Serif"/>
                <w:color w:val="auto"/>
                <w:highlight w:val="whit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ind w:left="-107" w:right="-144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Управление Росреестра по Республике Северная Осетия – Алания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auto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Принято решение об осуществлении ГКУ в части этажности.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Документы, подтверждающие изменение, не представлены.</w:t>
            </w:r>
            <w:r>
              <w:rPr>
                <w:rFonts w:ascii="PT Astra Serif" w:hAnsi="PT Astra Serif" w:cs="PT Astra Serif"/>
                <w:color w:val="auto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Для данного вида заявления (и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зменение основных характеристик объекта недвижимости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) с 01.01.2025 предусмотрена оплата государственной пошлины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br/>
              <w:t xml:space="preserve">(п. 22. 3 ч. 1 ст. 333.33 Налогового кодекса РФ - 1000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руб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).</w:t>
            </w:r>
            <w:r>
              <w:rPr>
                <w:rFonts w:ascii="PT Astra Serif" w:hAnsi="PT Astra Serif" w:cs="PT Astra Serif"/>
                <w:color w:val="auto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Однако государственная пошлина не оплачена.</w:t>
            </w:r>
            <w:r>
              <w:rPr>
                <w:rFonts w:ascii="PT Astra Serif" w:hAnsi="PT Astra Serif" w:cs="PT Astra Serif"/>
                <w:color w:val="auto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 w:themeColor="text1"/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6838" w:h="11906" w:orient="landscape"/>
      <w:pgMar w:top="1701" w:right="1134" w:bottom="850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</w:pPr>
    <w:fldSimple w:instr="PAGE \* MERGEFORMAT">
      <w:r>
        <w:t xml:space="preserve">1</w:t>
      </w:r>
    </w:fldSimple>
    <w:r/>
    <w:r/>
  </w:p>
  <w:p>
    <w:pPr>
      <w:pStyle w:val="7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No Spacing"/>
    <w:basedOn w:val="866"/>
    <w:uiPriority w:val="1"/>
    <w:qFormat/>
    <w:pPr>
      <w:spacing w:after="0" w:line="240" w:lineRule="auto"/>
    </w:pPr>
  </w:style>
  <w:style w:type="paragraph" w:styleId="870">
    <w:name w:val="List Paragraph"/>
    <w:basedOn w:val="866"/>
    <w:uiPriority w:val="34"/>
    <w:qFormat/>
    <w:pPr>
      <w:contextualSpacing/>
      <w:ind w:left="720"/>
    </w:pPr>
  </w:style>
  <w:style w:type="character" w:styleId="87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zelimkhanovaliliya</cp:lastModifiedBy>
  <cp:revision>5</cp:revision>
  <dcterms:modified xsi:type="dcterms:W3CDTF">2025-10-30T08:42:51Z</dcterms:modified>
</cp:coreProperties>
</file>