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  <w:t xml:space="preserve">Заключение кадастрового инженера </w:t>
      </w:r>
      <w:r>
        <w:rPr>
          <w:rFonts w:ascii="Liberation Sans" w:hAnsi="Liberation Sans" w:eastAsia="Liberation Sans" w:cs="Liberation Sans"/>
          <w:color w:val="000000"/>
          <w:sz w:val="24"/>
          <w:highlight w:val="none"/>
        </w:rPr>
      </w:r>
    </w:p>
    <w:p>
      <w:pPr>
        <w:jc w:val="both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Представленный технический план подготовлен в связи с созданием здания, расположенного по адресу: Ярославская область, ....... Заказчиком кадастровых работ является ФИО - собственник земельно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го участка с кадастровым номером ........., в границах которого находится указанное здание. Кадастровые работы выполнены методом спутниковых геодезических измерений с использованием комплекта высокоточного спутникового GPS/ГЛОНАСС оборудования. Зака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зчиком кадастровых работ представлена декларация об объекте недвижимого имущества исходя из которого датой окончания строительства является 01.09.1978 г. По вычисленным измерениям площадь 1-этажного кирпичного здания составила 628,5 кв.м. Учитывая, что дан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ное здание возведено до 2004 г. - дата принятия Градостроительного кодекса и до 2001г. - дата принятия Земельного кодекса, </w:t>
      </w:r>
      <w:r>
        <w:rPr>
          <w:rFonts w:ascii="Liberation Sans" w:hAnsi="Liberation Sans" w:eastAsia="Liberation Sans" w:cs="Liberation Sans"/>
          <w:b/>
          <w:bCs/>
          <w:i/>
          <w:iCs/>
          <w:color w:val="000000"/>
          <w:sz w:val="24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b/>
          <w:bCs/>
          <w:i/>
          <w:iCs/>
          <w:color w:val="000000"/>
          <w:sz w:val="24"/>
          <w:highlight w:val="white"/>
        </w:rPr>
        <w:t xml:space="preserve">редлагаем осуществить кадастровый учет указанного здания и последующую регистрацию прав 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ФИО на данное здание, как собст</w:t>
      </w:r>
      <w:r>
        <w:rPr>
          <w:rFonts w:ascii="Liberation Sans" w:hAnsi="Liberation Sans" w:eastAsia="Liberation Sans" w:cs="Liberation Sans"/>
          <w:color w:val="000000"/>
          <w:sz w:val="24"/>
          <w:highlight w:val="white"/>
        </w:rPr>
        <w:t xml:space="preserve">венника земельного участка под ним.</w:t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617"/>
    <w:next w:val="61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617"/>
    <w:next w:val="61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617"/>
    <w:next w:val="61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617"/>
    <w:next w:val="61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617"/>
    <w:next w:val="61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617"/>
    <w:next w:val="61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617"/>
    <w:next w:val="61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617"/>
    <w:next w:val="61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ind w:left="720"/>
      <w:contextualSpacing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2025-10-23T06:51:06Z</dcterms:modified>
</cp:coreProperties>
</file>