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line="36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Доклад по теме «Ошибки кадастровых инженеров при подготовке технических и межевых планов»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line="36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line="36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Хотелось бы напомнить, Ошибки, которые допускаются кадастровыми инженерами при составлении документов (Межевых, технических планов, Актов обследования), неизбежно становятся причинами приостановления государственного кадастрового учета.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6"/>
        <w:jc w:val="both"/>
        <w:spacing w:line="36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line="36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Ошибки при подготовке межевых и технических планов.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line="36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1)Основные ошибки это адреса земельных участков, зданий, помещений, сооружений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line="36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Особенно это касается случаев, если на кадастровом учете стоял объект  -жилой дом с адресом, но был снесен, и сейчас с т</w:t>
      </w:r>
      <w:r>
        <w:rPr>
          <w:rFonts w:ascii="Times New Roman" w:hAnsi="Times New Roman" w:eastAsia="Times New Roman" w:cs="Times New Roman"/>
          <w:sz w:val="28"/>
        </w:rPr>
        <w:t xml:space="preserve">аким же адресом кадастровый инженер готовит технический план в связи с созданием нового жилого дома, при этом в XML –схеме указывает, что адрес у нового дома установленный. При этом в ФИАС внесен адрес старого дома с кадастровым номером (Архивным).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line="36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И это не единичный случай.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0" w:after="100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Таким образом, </w:t>
      </w: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Адрес ОН указан не в соответствии со сведениями</w:t>
        <w:br/>
        <w:t xml:space="preserve">и структурой, содержащимися в федеральной информационной адресной системе, или предоставленными документами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0" w:after="100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hd w:val="clear" w:color="auto" w:fill="ffffff"/>
        </w:rPr>
        <w:t xml:space="preserve">(п. 50 Требований к подготовке межевого плана, пп.7 п. 51 Требований к подготовке технического плана)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0" w:after="100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0" w:after="100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2) Указывает в межевом  или тех.плане сам прибор измерений, а вот срок действия забывают указывать.</w:t>
      </w:r>
      <w:r>
        <w:rPr>
          <w:rFonts w:ascii="Times New Roman" w:hAnsi="Times New Roman" w:eastAsia="Times New Roman" w:cs="Times New Roman"/>
          <w:sz w:val="28"/>
        </w:rPr>
        <w:t xml:space="preserve"> Необходимо на это обратить внимание кадастровым инженерам.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12529"/>
          <w:sz w:val="28"/>
          <w:shd w:val="clear" w:color="auto" w:fill="ffffff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Неверно указываются предельные минимальные и максимальные размеры земельных участков, в том числе установленные Правилами землепользования и застройки.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п. 53 Требований к подготовке Межевого плана, утвержденных приказом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осреестра П/0592 предельные минимальный и максимальный размеры, соответствующие виду разрешенного использования земельного участка, указываются на основании документов, устанавливающих такие размеры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ind w:left="0" w:right="0" w:firstLine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4)</w:t>
        <w:tab/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Неверно заполняется адрес объекта недвижимости.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Установленный адрес заполняется при наличии сведений в ФИАС, </w:t>
        <w:br/>
        <w:t xml:space="preserve">либо на основании акта органа государственной власти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ли органа местного самоуправления, уполномоченных на присвоение адресов объектам недвижимости, в случае, если адрес установлен до вступления в силу Постановления № 1221 от 19.11.2014.</w:t>
        <w:tab/>
        <w:t xml:space="preserve">При отсутствии установленного адреса указывается местоположение объекта.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83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5)</w:t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Достаточно часто встречаются противоречия в сведениях, указанных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декларации и непосредственно в техническом плане. Например, материал стен, этажность, год завершения строительства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бывает, что декларация совсем от другого объекта помещается в технический план.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83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837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не указа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метод определения координат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837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указан или указан неверно Кадастровый номер земельного участка, на котором расположен объект капитального строительства, подлежащий постановке на учет</w:t>
      </w:r>
      <w:r>
        <w:rPr>
          <w:rFonts w:ascii="Times New Roman" w:hAnsi="Times New Roman" w:eastAsia="Times New Roman" w:cs="Times New Roman"/>
        </w:rPr>
        <w:t xml:space="preserve">;</w:t>
      </w:r>
      <w:r>
        <w:rPr>
          <w:rFonts w:ascii="Times New Roman" w:hAnsi="Times New Roman" w:cs="Times New Roman"/>
        </w:rPr>
      </w:r>
    </w:p>
    <w:p>
      <w:pPr>
        <w:pStyle w:val="837"/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указании кадастровых номеров исходного объекта при разделе допускаются ошибки в самих номерах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color w:val="111111"/>
        </w:rPr>
      </w:pPr>
      <w:r>
        <w:rPr>
          <w:rFonts w:ascii="Times New Roman" w:hAnsi="Times New Roman" w:eastAsia="Times New Roman" w:cs="Times New Roman"/>
          <w:color w:val="111111"/>
        </w:rPr>
      </w:r>
      <w:r>
        <w:rPr>
          <w:rFonts w:ascii="Times New Roman" w:hAnsi="Times New Roman" w:cs="Times New Roman"/>
          <w:color w:val="111111"/>
        </w:rPr>
      </w:r>
      <w:r>
        <w:rPr>
          <w:rFonts w:ascii="Times New Roman" w:hAnsi="Times New Roman" w:cs="Times New Roman"/>
          <w:color w:val="111111"/>
        </w:rPr>
      </w:r>
    </w:p>
    <w:p>
      <w:pPr>
        <w:pStyle w:val="836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hd w:val="clear" w:color="auto" w:fill="ffffff"/>
        </w:rPr>
        <w:t xml:space="preserve">Хотелось бы напомнить об ответственности кадастровых инженеров при  подготовке технических планов и межевых планов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111111"/>
          <w:sz w:val="28"/>
          <w:szCs w:val="28"/>
        </w:rPr>
      </w:r>
    </w:p>
    <w:p>
      <w:pPr>
        <w:pStyle w:val="836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12529"/>
          <w:sz w:val="28"/>
          <w:shd w:val="clear" w:color="auto" w:fill="ffffff"/>
        </w:rPr>
      </w:r>
      <w:r>
        <w:rPr>
          <w:rFonts w:ascii="Times New Roman" w:hAnsi="Times New Roman" w:cs="Times New Roman"/>
          <w:color w:val="212529"/>
          <w:shd w:val="clear" w:color="auto" w:fill="ffffff"/>
        </w:rPr>
      </w:r>
      <w:r>
        <w:rPr>
          <w:rFonts w:ascii="Times New Roman" w:hAnsi="Times New Roman" w:cs="Times New Roman"/>
          <w:color w:val="212529"/>
          <w:shd w:val="clear" w:color="auto" w:fill="ffffff"/>
        </w:rPr>
      </w:r>
    </w:p>
    <w:p>
      <w:pPr>
        <w:pStyle w:val="836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212529"/>
          <w:sz w:val="28"/>
          <w:shd w:val="clear" w:color="auto" w:fill="ffffff"/>
        </w:rPr>
      </w:r>
      <w:r>
        <w:rPr>
          <w:rFonts w:ascii="Times New Roman" w:hAnsi="Times New Roman" w:cs="Times New Roman"/>
          <w:color w:val="212529"/>
          <w:shd w:val="clear" w:color="auto" w:fill="ffffff"/>
        </w:rPr>
      </w:r>
      <w:r>
        <w:rPr>
          <w:rFonts w:ascii="Times New Roman" w:hAnsi="Times New Roman" w:cs="Times New Roman"/>
          <w:color w:val="212529"/>
          <w:shd w:val="clear" w:color="auto" w:fill="ffffff"/>
        </w:rPr>
      </w:r>
    </w:p>
    <w:p>
      <w:pPr>
        <w:pStyle w:val="836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  <w:t xml:space="preserve">Главный специалист-эксперт                                                         Коваленко И.В.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  <w:sz w:val="20"/>
        </w:rPr>
        <w:t xml:space="preserve">27.11. 2025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pStyle w:val="83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6"/>
        <w:jc w:val="both"/>
        <w:spacing w:before="0" w:after="100"/>
        <w:shd w:val="clear" w:color="auto" w:fill="ffffff"/>
        <w:rPr>
          <w:rFonts w:ascii="Times New Roman" w:hAnsi="Times New Roman" w:cs="Times New Roman"/>
          <w:color w:val="2a2a2a"/>
        </w:rPr>
      </w:pPr>
      <w:r>
        <w:rPr>
          <w:rFonts w:ascii="Times New Roman" w:hAnsi="Times New Roman" w:eastAsia="Times New Roman" w:cs="Times New Roman"/>
          <w:color w:val="2a2a2a"/>
          <w:sz w:val="21"/>
        </w:rPr>
      </w:r>
      <w:r>
        <w:rPr>
          <w:rFonts w:ascii="Times New Roman" w:hAnsi="Times New Roman" w:cs="Times New Roman"/>
          <w:color w:val="2a2a2a"/>
        </w:rPr>
      </w:r>
      <w:r>
        <w:rPr>
          <w:rFonts w:ascii="Times New Roman" w:hAnsi="Times New Roman" w:cs="Times New Roman"/>
          <w:color w:val="2a2a2a"/>
        </w:rPr>
      </w:r>
    </w:p>
    <w:p>
      <w:pPr>
        <w:pStyle w:val="837"/>
        <w:rPr>
          <w:rFonts w:ascii="Times New Roman" w:hAnsi="Times New Roman" w:cs="Times New Roman"/>
          <w:color w:val="2a2a2a"/>
        </w:rPr>
      </w:pPr>
      <w:r>
        <w:rPr>
          <w:rFonts w:ascii="Times New Roman" w:hAnsi="Times New Roman" w:eastAsia="Times New Roman" w:cs="Times New Roman"/>
          <w:color w:val="2a2a2a"/>
          <w:sz w:val="21"/>
        </w:rPr>
        <w:t xml:space="preserve"> </w:t>
      </w:r>
      <w:r>
        <w:rPr>
          <w:rFonts w:ascii="Times New Roman" w:hAnsi="Times New Roman" w:cs="Times New Roman"/>
          <w:color w:val="2a2a2a"/>
        </w:rPr>
      </w:r>
      <w:r>
        <w:rPr>
          <w:rFonts w:ascii="Times New Roman" w:hAnsi="Times New Roman" w:cs="Times New Roman"/>
          <w:color w:val="2a2a2a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Han Sans CN Regular">
    <w:panose1 w:val="02000603000000000000"/>
  </w:font>
  <w:font w:name="&amp;apos;PT Astra Serif&amp;apos;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</w:pPr>
    <w:fldSimple w:instr="PAGE \* MERGEFORMAT">
      <w:r>
        <w:t xml:space="preserve">1</w:t>
      </w:r>
    </w:fldSimple>
    <w:r/>
    <w:r/>
  </w:p>
  <w:p>
    <w:pPr>
      <w:pStyle w:val="68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Обычный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37" w:customStyle="1">
    <w:name w:val="Standard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Times New Roman" w:cs="PT Astra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38" w:customStyle="1">
    <w:name w:val="First line indent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PT Astra Serif" w:hAnsi="PT Astra Serif" w:eastAsia="Source Han Sans CN Regular" w:cs="'PT Astra Serif'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2025-11-28T04:47:53Z</dcterms:modified>
</cp:coreProperties>
</file>