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 доклада: о нарушениях, допущенных кадастровыми инженерами при осуществлении кадастровых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1. В Управление поступило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заявление от кадастрового инженера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t xml:space="preserve">.,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действующего на основании Договора подряда на проведение кадастровых работ, п. 2 ч. 2.1 ст. 36 Федерального закона от 24.07.2007 N 221-ФЗ             "О кадастровой деятельности" (далее – Закон № 221-ФЗ) об осущест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влении действий по кадастровому учету в части изменения основных характеристик объекта недвижимости без одновременной государственной регистрации прав в отношении земельного участка с кадастровым номером:15.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 заявлению были приложены следующие документы: межевой план от 30.10.2025 г., подготовленный кадастровым инженером Г., акт приемки работ. Иных до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кументов представлено не было.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Согласно п. 1 ч. 3 ст. 39 Закона N 221-ФЗ,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согласование местоположения границ проводится с лицами, обладающими смежными земельными участками, в том числе и на праве собственности. В отношении смежных земельных участков в ЕГРН внесены сведения о праве собственности. 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жевой план, представленный заявителем, содержит информацию о согласовании границы н1 - н8, смежной с земельным участком с кадастровым номером:560, согласование проведено                                  с собственником О. Согласно сведениям ЕГРН, ей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принадлежит 1/2 доли земельн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ого участка в общей долевой собственности. Подписи иных лиц, являющихся собственниками оставшейся 1/2 доли, в Акте согласования отсутствуют (ч. 2 ст. 40 Закона  №221-ФЗ). Следовательно, в соответствии             с ч. 3 ст. 39 Закона 221-ФЗ, граница считае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не согласованной.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Государственный регистратор рекомендовал заявителю предпринять меры по установлению лица, с которым, в соответствии с ч. 3 ст. 39 Закона </w:t>
        <w:br/>
        <w:t xml:space="preserve">№ 221- ФЗ, должно быть проведено согласование в отношении 1/2 доли земельного участка с кадастровым номером:560.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орган регистрации прав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поступило заявление об осуществлении государственного кадастрового учета изменений и межевой план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подготовленный в связи с уточнением местоположения границы и (или) площади земельного участка с кадастровым номером:2488.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При автоматической загрузке межевого плана, выявлены пересечения границ земельных участков.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Возможной причиной данного пересечения является наличие реестровой ошибки в отношении вышеуказанного земельного участка либо </w:t>
        <w:br/>
        <w:t xml:space="preserve">в отношении земель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участка, о государственном кадастровом учете которого представлено заявление.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Для устранения причин приостановления государственный регистратор рекомендовал собственнику смеж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ного земельного участка обратится </w:t>
        <w:br/>
        <w:t xml:space="preserve">к кадастровому инженеру для подготовки межевого пл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ана с целью исправления реестровой ошибки с последующим обращением в орган регистрации прав через офис КАУ «МФЦ Алтайского края».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Управление поступило обращение представителя юридического лица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постановке на кадастровый учет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земельного участка из земель, нах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одящихся в государственной или муниципальной собственности,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основании межевого плана, подготовленного кадастровым инженером Б. 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представленного межевого плана, границы образуемого зе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мельного участка пересекают границы муниципальных образований: обр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азующийся земельный участок не полностью входит в границы муниципальных образований Тополинский сельсовет и Угловский район.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Государственным регистратором были выявлены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основания для приостановления в осуществлении государственного кадастрового учета изменений данного земельного участка по основаниям, предусмотренным статьей 26 Закона о регистрации, а именно: форма и (или) содержание документа, предс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тавленного для осуществления государственного кадастрового учета и (или государственной регистрации прав, </w:t>
        <w:br/>
        <w:t xml:space="preserve">не соответствует требованиям законодательства российской Федерации (пункт 7 части 1 статьи 26 Закона); границы земельного участка пересекают границы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униципального образования, за исключением случаев, если выявлена воспроизведенная в Едином государственном реестре недвижимости ошибка в определении местоположения границ такого муниципального образования в документе, на основании которого вносились сведен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ия в Единый государственный реестр недвижимости (пункт 43 части 1 статьи 26 Закона).  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Для устранения причин приостановления государственный регистратор рекомендовал обратиться к кадастровому инженеру для установления им причин пересечений и, в случае необходимости, внесения им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изменения в межевой план в соответствии с выявленными замечаниями.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заявлению представителя юридического лица Управление прекратило осуществление учетно-регистрационных действий в отношении вышеуказанного земельного участка.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u w:val="none"/>
        </w:rPr>
        <w:t xml:space="preserve">4.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В то же время, 11.11.202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в Управление вновь поступило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обращение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 от представителя юридического лица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  <w:t xml:space="preserve">о постановке на государственный кадастровый учет этого же земельного участка.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качестве документа-основания государственного кадастрового учета представлен межевой план от 11.11.2025 г., подготовленный кадастровым инженером Б, в связи с образованием земельного участка из земель,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аходящихся в государственной или муницип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альной собственности.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Согласно части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11 статьи 22 Закона о регистрации, границы земельного участка не должны пересекать границы муниципального образования, </w:t>
        <w:br/>
        <w:t xml:space="preserve">за исключением случая, если выявлена воспроизведенная в Едином государственном реестре недвижимости ошибка в определении местоположения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границ такого муниципального образования в документе, </w:t>
        <w:br/>
        <w:t xml:space="preserve">на основании которого вносились сведения в Единый государственный реестр недвижимости.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под пересечением границ земельного участка с границами муниципальных образований, населенных пунктов, терр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иториальной зоны, лесничеств понимается: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наличие общей точки или точек границ земельного участка и границ муниципального образования, населенного пункта, территориальной зоны, лесничества, которые образованы в результате расположения одной или нескольки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х характерных точек границ земельного участка за пределами диапазона средней квадратической погрешности определения характерных точек границ муниципального образования, населенного пункта, территориальной зоны, лесничества;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расположение хотя бы одного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 контуров границ многоконтурного земельного участка за границами соответствующих муниципального образования и (или) населенного пункта или территориальной зоны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гласно представленного межевого плана, образуемый земельный участок полностью расположен за границами Муниципального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разования Угловский район Алтайского края хотя согласно Постановлению Администрации Угловского района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схемы расположения земельного участка на кадастровом плане территории в кадастровом квартале:100306» должен располагаться на территории Муниципального образования Угловский район Алтайского края. Таким образом, представленный меж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евой план не соответствует требованиям действующего законодательства.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Указанные обстоятельства явились основанием для приостановления государственной регистрации в порядке п.п. 7, 43 ч. 1 ст. 26 Закона                           о регистрации.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before="0" w:after="20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96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jc w:val="center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  <w:t xml:space="preserve">2</w:t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3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5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7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9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1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3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5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7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List Paragraph"/>
    <w:basedOn w:val="83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Жаравина Галина Евгеньевна</dc:creator>
  <cp:revision>25</cp:revision>
  <dcterms:created xsi:type="dcterms:W3CDTF">2024-09-25T08:43:00Z</dcterms:created>
  <dcterms:modified xsi:type="dcterms:W3CDTF">2025-11-26T03:46:33Z</dcterms:modified>
</cp:coreProperties>
</file>