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F4" w:rsidRDefault="001B7884">
      <w:pPr>
        <w:jc w:val="center"/>
      </w:pPr>
      <w:r>
        <w:t xml:space="preserve">Информация к совещанию с кадастровыми инженерами </w:t>
      </w:r>
    </w:p>
    <w:p w:rsidR="006831F4" w:rsidRDefault="001B7884">
      <w:pPr>
        <w:jc w:val="center"/>
      </w:pPr>
      <w:r>
        <w:t>29.12.2025</w:t>
      </w:r>
    </w:p>
    <w:p w:rsidR="006831F4" w:rsidRDefault="001B7884">
      <w:pPr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1. Кадастровые инженеры при обосновании года завершения строительства представляют позицию Росреестра </w:t>
      </w:r>
      <w:bookmarkStart w:id="0" w:name="_GoBack"/>
      <w:bookmarkEnd w:id="0"/>
      <w:r>
        <w:rPr>
          <w:rFonts w:ascii="Liberation Serif" w:eastAsia="Liberation Serif" w:hAnsi="Liberation Serif" w:cs="Liberation Serif"/>
          <w:sz w:val="24"/>
          <w:szCs w:val="24"/>
        </w:rPr>
        <w:t xml:space="preserve">от 31.03.2025 № 13-00448/25. Возможно ли территориальным </w:t>
      </w:r>
      <w:r>
        <w:rPr>
          <w:rFonts w:ascii="Liberation Serif" w:eastAsia="Liberation Serif" w:hAnsi="Liberation Serif" w:cs="Liberation Serif"/>
          <w:sz w:val="24"/>
          <w:szCs w:val="24"/>
        </w:rPr>
        <w:t>органам руководствоваться данной позицией при проведении правовой экспертизы? Может ли год завершения указываться в соответствии с приложенной к техническому плану декларацией?</w:t>
      </w:r>
    </w:p>
    <w:p w:rsidR="006831F4" w:rsidRDefault="001B7884">
      <w:pPr>
        <w:ind w:left="23" w:firstLine="68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Письмо, указанное в вопросе, было направлено в ответ на обращение СРО</w:t>
      </w:r>
      <w:r>
        <w:rPr>
          <w:rStyle w:val="af2"/>
          <w:rFonts w:ascii="Liberation Serif" w:eastAsia="Liberation Serif" w:hAnsi="Liberation Serif" w:cs="Liberation Serif"/>
          <w:sz w:val="24"/>
          <w:szCs w:val="24"/>
        </w:rPr>
        <w:footnoteReference w:id="1"/>
      </w:r>
      <w:r>
        <w:rPr>
          <w:rFonts w:ascii="Liberation Serif" w:eastAsia="Liberation Serif" w:hAnsi="Liberation Serif" w:cs="Liberation Serif"/>
          <w:sz w:val="24"/>
          <w:szCs w:val="24"/>
        </w:rPr>
        <w:t>, касающе</w:t>
      </w:r>
      <w:r>
        <w:rPr>
          <w:rFonts w:ascii="Liberation Serif" w:eastAsia="Liberation Serif" w:hAnsi="Liberation Serif" w:cs="Liberation Serif"/>
          <w:sz w:val="24"/>
          <w:szCs w:val="24"/>
        </w:rPr>
        <w:t>еся указания в декларации об объекте недвижимости и, соответственно, в техническом плане фактического завершения года строительства объекта недвижимости, являющегося годом завершения строительных работ.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 данному вопросу рекомендуем руководствоваться след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ующим.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Законом № 218-ФЗ предусмотрено указание в ЕГРН в качестве основных таких сведений как «год ввода в эксплуатацию» здания или сооружения по завершении его строительства, либо «год завершения строительства» таких объектов недвижимости, если в соответс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твии с федеральным законом выдача разрешения на ввод объекта в эксплуатацию не предусматривается (пункт 18 части 4 статьи 8 Закона № 218-ФЗ).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Формой технического плана, Требованиями № П/0082</w:t>
      </w:r>
      <w:r>
        <w:rPr>
          <w:rStyle w:val="af2"/>
          <w:rFonts w:ascii="Liberation Serif" w:eastAsia="Liberation Serif" w:hAnsi="Liberation Serif" w:cs="Liberation Serif"/>
          <w:sz w:val="24"/>
          <w:szCs w:val="24"/>
        </w:rPr>
        <w:footnoteReference w:id="2"/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(см. подпункты 13, 14 и 15 пункта 51) также предусмотрено указа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ние в техническом плане здания или сооружения: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года ввода в эксплуатацию здания или сооружения по окончании его строительства, если объектом недвижимости является здание или сооружение; в случае подготовки технического плана с целью получения застройщиком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разрешения на ввод объекта в эксплуатацию допустимо (не является нарушением Требований № П/0082) указание года ввода объекта в эксплуатацию, не соответствующего году ввода в эксплуатацию, указанному в разрешении на ввод объекта в эксплуатацию, приложением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к которому будет являться (является) технический план, если указанный в техническом плане год ввода объекта в эксплуатацию соответствует году подготовки окончательной редакции технического плана;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года завершения строительства объектов недвижимости, если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в соответствии с федеральным законом выдача разрешения на ввод объекта в эксплуатацию не предусматривается; </w:t>
      </w:r>
    </w:p>
    <w:p w:rsidR="006831F4" w:rsidRDefault="001B788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век (период) постройки объектов недвижимости, законченных строительством до 1917 года, в том числе объектов культурного наследия (памятников истори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и и культуры) народов Российской Федерации (например, 17 век, конец 16 века).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Законом № 487-ФЗ</w:t>
      </w:r>
      <w:r>
        <w:rPr>
          <w:rStyle w:val="af2"/>
          <w:rFonts w:ascii="Liberation Serif" w:eastAsia="Liberation Serif" w:hAnsi="Liberation Serif" w:cs="Liberation Serif"/>
          <w:sz w:val="24"/>
          <w:szCs w:val="24"/>
        </w:rPr>
        <w:footnoteReference w:id="3"/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были внесены изменения в целый ряд федеральных законов, в том числе в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Style w:val="af2"/>
          <w:rFonts w:ascii="Liberation Serif" w:eastAsia="Liberation Serif" w:hAnsi="Liberation Serif" w:cs="Liberation Serif"/>
          <w:sz w:val="24"/>
          <w:szCs w:val="24"/>
        </w:rPr>
        <w:footnoteReference w:id="4"/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 части установления положений, определяющих момент завершения строительства объекта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капитального строительства.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Необходимо отметить, что до вступления в силу Закона № 487-ФЗ отсутствовало регулирование вопроса завершения строительства объектов, для строительства или реконструкции которых в силу положений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получение разрешения на стро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ительства не требовалось. Иными словами, в законодательстве отсутствовали единые правила определения такой характеристики объектов капитального строительства.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После вступления в силу Закона № 487-ФЗ статья 52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дополнена частями 12 – 15, согласно которы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м: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– строительство или реконструкция здания, сооружения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считаются завершенными со дня: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1) получения разрешения на ввод в эксплуатацию здания или сооружения в случае, если для строительства или реконструкции таких здания или сооружения требуется получение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разрешения на строительство;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2)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за исключением случае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в, если строительство таких объектов капитального строительства осуществлялось без получения уведомлений, предусмотренных             статьей 51.1 и частью 16 статьи 55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(часть 12);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– в случае, если в соответствии с частью 17 статьи 51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для строител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ьства или реконструкции здания, сооружения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не требуются получение разрешения на строительство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и (или) подготовка проектной документации, строительство или реконструкция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здания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или сооружения (помещений или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машино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-мест в таких здании или сооружении)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считают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ся завершенными со дня осуществления их государственного кадастрового учета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. Данные положения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применяются также в отношении жилого дома или садового дома, строительство или реконструкция которых осуществлялись без получения уведомления,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предусмотренного пу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нктом 2 части 12                  статьи 52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, при условии, что строительство или реконструкция указанных объектов без получения такого уведомления допускаются федеральным законом (часть 13); </w:t>
      </w:r>
    </w:p>
    <w:p w:rsidR="006831F4" w:rsidRDefault="001B788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–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строительство, реконструкция объектов капитального строител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 xml:space="preserve">ьства не могут считаться завершенными при несоблюдении условий, предусмотренных частями 12 и 13                   статьи 52 </w:t>
      </w:r>
      <w:proofErr w:type="spellStart"/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(часть 14);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– застройщик или иное лицо, имеющие в соответствии с законом основания для приобретения прав на здание, сооружение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(помещения или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машино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-места в таких здании, сооружении), для получения возможности их эксплуатации, осуществления государственного кадастрового учета и (или) государственной регистрации прав на такие здание, сооружение (помещения или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машино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-места в таких з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дании, сооружении) обязаны: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1) подготовить и направить в уполномоченный орган или организацию, указанные в статье 55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, документы, необходимые для выдачи разрешения на ввод объекта капитального строительства в эксплуатацию (в том числе документы, необхо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димые для осуществления государственного кадастрового учета и (или) государственной регистрации прав на здание, сооружение (помещения или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машино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-места в таких здании, сооружении), в случае, если строительство осуществлялось на основании выданного разрешени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я на строительство; </w:t>
      </w:r>
    </w:p>
    <w:p w:rsidR="006831F4" w:rsidRDefault="001B7884">
      <w:pPr>
        <w:ind w:left="23" w:firstLine="1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2)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подготовить и направить в орган регистрации прав документы, необходимые для осуществления государственного кадастрового учета и (или) государственной регистрации прав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на здание, сооружение (помещения или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машино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-места в таких здании,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сооружении), в случае, если для строительства или реконструкции таких здания, сооружения не требовалось получение разрешения на строительство (часть 15). </w:t>
      </w:r>
    </w:p>
    <w:p w:rsidR="006831F4" w:rsidRDefault="001B7884">
      <w:pPr>
        <w:ind w:left="23" w:firstLine="68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С учетом изложенного, в том числе положений части 14 статьи 52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, после 01.03.2025 объекты капитал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ьного строительства, для строительства, реконструкции которых в силу положений части 17 статьи 51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не требуется получение разрешения на строительство, в том числе жилые дома (объекты индивидуального жилищного строительства), садовые дома, строительство </w:t>
      </w:r>
      <w:r>
        <w:rPr>
          <w:rFonts w:ascii="Liberation Serif" w:eastAsia="Liberation Serif" w:hAnsi="Liberation Serif" w:cs="Liberation Serif"/>
          <w:sz w:val="24"/>
          <w:szCs w:val="24"/>
        </w:rPr>
        <w:t>или реконструкция которых допускаются федеральным законом без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ности,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не являются завершенными строительством, если до указанной даты (01.03.2025) не осуществлен государственный кадастровый учет таких объектов.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</w:p>
    <w:p w:rsidR="006831F4" w:rsidRDefault="001B7884">
      <w:pPr>
        <w:ind w:left="23" w:firstLine="68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 связи с этим, в декларации об объекте недвижимости и в техническом плане в отношении указанных в части 13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статьи 52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жилого дома или садового дома не может быть указан год завершения строительства ранее года обращения в орган регистрации прав с заявлением об осуществлении государственного кадастрового учета такого объекта капитального строительства. </w:t>
      </w:r>
    </w:p>
    <w:p w:rsidR="006831F4" w:rsidRDefault="001B7884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При э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том с учетом положений частей 4 и 5.1 статьи 69, статьи 71 Закона № 218-ФЗ при подготовке технического плана в отношении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  <w:u w:val="single"/>
        </w:rPr>
        <w:t>ранее учтенного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здания, сооружения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</w:rPr>
        <w:t>или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 случае подготовки технического плана здания, сооружения на основании изготовленного </w:t>
      </w:r>
      <w:r>
        <w:rPr>
          <w:rFonts w:ascii="Liberation Serif" w:eastAsia="Liberation Serif" w:hAnsi="Liberation Serif" w:cs="Liberation Serif"/>
          <w:b/>
          <w:i/>
          <w:sz w:val="24"/>
          <w:szCs w:val="24"/>
          <w:u w:val="single"/>
        </w:rPr>
        <w:t>до 01.01.2013 технического паспорта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, допустимо указание в техническом плане года завершения строительства здания, сооружения, соответствующего году издания (выдачи) правоустанавливающего,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правоудостоверяющего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документа или технического паспорта такого здан</w:t>
      </w:r>
      <w:r>
        <w:rPr>
          <w:rFonts w:ascii="Liberation Serif" w:eastAsia="Liberation Serif" w:hAnsi="Liberation Serif" w:cs="Liberation Serif"/>
          <w:sz w:val="24"/>
          <w:szCs w:val="24"/>
        </w:rPr>
        <w:t>ия, сооружения. Также допустимо указание года завершения строительства исходя из содержания документов, имеющихся в распоряжении заказчика кадастровых работ, в частности, в случае подготовки технического плана в отношении объектов недвижимости, указанных с</w:t>
      </w:r>
      <w:r>
        <w:rPr>
          <w:rFonts w:ascii="Liberation Serif" w:eastAsia="Liberation Serif" w:hAnsi="Liberation Serif" w:cs="Liberation Serif"/>
          <w:sz w:val="24"/>
          <w:szCs w:val="24"/>
        </w:rPr>
        <w:t>оответственно в статьях 3.7, 3.8, 3.9 Закона № 137-ФЗ.</w:t>
      </w:r>
    </w:p>
    <w:p w:rsidR="006831F4" w:rsidRDefault="001B788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2. В целях подтверждения иного года завершения строительства, отличного от года государственного кадастрового учета, кадастровыми инженерами в технический план включаются выписки из похозяйственней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книги, выданные ОМС.</w:t>
      </w:r>
    </w:p>
    <w:p w:rsidR="006831F4" w:rsidRDefault="001B7884">
      <w:pPr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Похозяйственная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книга является документом, содержащим, в том числе, данные учета расположенных в сельской местности жилых и нежилых строений, записи о собственнике строения, характеристике строения, об основании принадлежности строени</w:t>
      </w:r>
      <w:r>
        <w:rPr>
          <w:rFonts w:ascii="Liberation Serif" w:eastAsia="Liberation Serif" w:hAnsi="Liberation Serif" w:cs="Liberation Serif"/>
          <w:sz w:val="24"/>
          <w:szCs w:val="24"/>
        </w:rPr>
        <w:t>я правообладателю.</w:t>
      </w:r>
    </w:p>
    <w:p w:rsidR="006831F4" w:rsidRDefault="001B788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С учетом изложенного, в случае если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похозяйственная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книга содержит сведения о годе завершения строительства, выписка из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книги, выданная ОМС, может являться документом, на основании которого в технический план вносятся год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строительства?</w:t>
      </w:r>
    </w:p>
    <w:p w:rsidR="006831F4" w:rsidRDefault="001B7884">
      <w:pPr>
        <w:ind w:left="23" w:firstLine="68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Полагаем, что выписка из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книги, в которой поименован в том числе жилой фонд (в частности, жилой дом с указанием его характеристик, включая год постройки) может быть использована в качестве основания для указания в техническо</w:t>
      </w:r>
      <w:r>
        <w:rPr>
          <w:rFonts w:ascii="Liberation Serif" w:eastAsia="Liberation Serif" w:hAnsi="Liberation Serif" w:cs="Liberation Serif"/>
          <w:sz w:val="24"/>
          <w:szCs w:val="24"/>
        </w:rPr>
        <w:t>м плане года завершения строительства объекта недвижимости (в частности, жилого дома) в соответствии с этой выпиской.</w:t>
      </w:r>
    </w:p>
    <w:p w:rsidR="006831F4" w:rsidRDefault="001B788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3. Планируются ли изменения в требованиях к подготовке технического плана в части обязанности правообладателем вносить сведения о годе зав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ершения строительства в соответствии с требованиями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ГрК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? На территориях ОКН возможность постановки на учет и регистрации прав на объект капитального строительства в упрощенном порядке есть только до года внесения сведений о данной территории в ЕГРН.  Год з</w:t>
      </w:r>
      <w:r>
        <w:rPr>
          <w:rFonts w:ascii="Liberation Serif" w:eastAsia="Liberation Serif" w:hAnsi="Liberation Serif" w:cs="Liberation Serif"/>
          <w:sz w:val="24"/>
          <w:szCs w:val="24"/>
        </w:rPr>
        <w:t>авершения строительства указывается по фактическому завершению строительства.</w:t>
      </w:r>
    </w:p>
    <w:p w:rsidR="006831F4" w:rsidRDefault="001B7884">
      <w:pPr>
        <w:ind w:left="23" w:firstLine="68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Да, указанный вопрос впоследствии будет нормативно урегулирован. При этом в настоящее время (в том числе применительно к вопросу) при указании в техническом плане года завершения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строительства объекта недвижимости необходимо руководствоваться нормами закона (см. также пункт 3 таблицы).</w:t>
      </w:r>
    </w:p>
    <w:p w:rsidR="006831F4" w:rsidRDefault="001B788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4. </w:t>
      </w:r>
      <w:r>
        <w:rPr>
          <w:rFonts w:ascii="Times New Roman" w:hAnsi="Times New Roman" w:cs="Times New Roman"/>
          <w:sz w:val="24"/>
          <w:szCs w:val="24"/>
        </w:rPr>
        <w:t>В случае наличия в ЕГРН сведений о местоположении границ смежного земельного участка (уточненные границы), но при этом координаты характерных то</w:t>
      </w:r>
      <w:r>
        <w:rPr>
          <w:rFonts w:ascii="Times New Roman" w:hAnsi="Times New Roman" w:cs="Times New Roman"/>
          <w:sz w:val="24"/>
          <w:szCs w:val="24"/>
        </w:rPr>
        <w:t>чек границ определены с точностью ниже нормативной точности (на период уточнения соответствовали), считаются ли границы, в случае надлежащего извещения собственника и без личной подписи в акте согласования, согласованными в соответствии с частью 3 статьи 3</w:t>
      </w:r>
      <w:r>
        <w:rPr>
          <w:rFonts w:ascii="Times New Roman" w:hAnsi="Times New Roman" w:cs="Times New Roman"/>
          <w:sz w:val="24"/>
          <w:szCs w:val="24"/>
        </w:rPr>
        <w:t>9 Закона 221-ФЗ (согласно части 2 статьи 43  Закона № 218-ФЗ  и пункту 61 приказа Росреестра № П/0592)?</w:t>
      </w:r>
    </w:p>
    <w:p w:rsidR="006831F4" w:rsidRDefault="001B7884">
      <w:pPr>
        <w:ind w:left="23" w:firstLine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2 статьи 43 Закона № 218-ФЗ предполагает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наличие личной подписи в акте согласования местоположения границ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участков.</w:t>
      </w:r>
    </w:p>
    <w:p w:rsidR="006831F4" w:rsidRDefault="001B7884">
      <w:pPr>
        <w:ind w:left="23" w:firstLine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На основан</w:t>
      </w:r>
      <w:r>
        <w:rPr>
          <w:rFonts w:ascii="Times New Roman" w:hAnsi="Times New Roman" w:cs="Times New Roman"/>
          <w:sz w:val="24"/>
          <w:szCs w:val="24"/>
        </w:rPr>
        <w:t>ии каких документов готовится технический план на объект незавершенного строительства, на который не требуется выдача разрешения на строительство, учитывая положения части 9 статьи 24 Закона № 218-</w:t>
      </w:r>
      <w:proofErr w:type="gramStart"/>
      <w:r>
        <w:rPr>
          <w:rFonts w:ascii="Times New Roman" w:hAnsi="Times New Roman" w:cs="Times New Roman"/>
          <w:sz w:val="24"/>
          <w:szCs w:val="24"/>
        </w:rPr>
        <w:t>ФЗ ?</w:t>
      </w:r>
      <w:proofErr w:type="gramEnd"/>
    </w:p>
    <w:p w:rsidR="006831F4" w:rsidRDefault="001B7884">
      <w:pPr>
        <w:ind w:left="23" w:firstLine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декларации об объекте недвижимости.</w:t>
      </w:r>
    </w:p>
    <w:p w:rsidR="006831F4" w:rsidRDefault="001B7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дел земельного участка в счет пая. В исходном земельном участке - осталась только площадь для выдела последнего пая. Как образовать земельный участок в счет выдела последнего пая - согласно ЗК это уже не будет соответствовать понятию «выдел», исходный не и</w:t>
      </w:r>
      <w:r>
        <w:rPr>
          <w:rFonts w:ascii="Times New Roman" w:hAnsi="Times New Roman" w:cs="Times New Roman"/>
          <w:sz w:val="24"/>
          <w:szCs w:val="24"/>
        </w:rPr>
        <w:t>зменяется, а фактически прекращается. Может ли это быть выдел по Закону № 101-ФЗ и необходимо ли образовать новый земельный участок, равный исходному, или регистрировать права на исходный?</w:t>
      </w:r>
    </w:p>
    <w:p w:rsidR="006831F4" w:rsidRDefault="001B7884">
      <w:pPr>
        <w:ind w:left="23" w:firstLine="1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Полагаем, что в таком случае образование нового земельного участка </w:t>
      </w:r>
      <w:r>
        <w:rPr>
          <w:rFonts w:ascii="Times New Roman" w:hAnsi="Times New Roman" w:cs="Times New Roman"/>
          <w:sz w:val="24"/>
          <w:szCs w:val="24"/>
        </w:rPr>
        <w:t>не является обязательным, на исходный (оставшийся) земельный участок регистрируется право собственности лица – собственника последнего оставшегося пая.</w:t>
      </w:r>
    </w:p>
    <w:p w:rsidR="006831F4" w:rsidRDefault="006831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1F4" w:rsidRDefault="006831F4">
      <w:pPr>
        <w:ind w:left="23" w:firstLine="136"/>
        <w:jc w:val="both"/>
        <w:rPr>
          <w:rFonts w:ascii="Times New Roman" w:hAnsi="Times New Roman" w:cs="Times New Roman"/>
          <w:sz w:val="24"/>
          <w:szCs w:val="24"/>
        </w:rPr>
      </w:pPr>
    </w:p>
    <w:p w:rsidR="006831F4" w:rsidRDefault="006831F4">
      <w:pPr>
        <w:ind w:left="23" w:firstLine="136"/>
        <w:jc w:val="both"/>
        <w:rPr>
          <w:rFonts w:ascii="Times New Roman" w:hAnsi="Times New Roman" w:cs="Times New Roman"/>
          <w:sz w:val="24"/>
          <w:szCs w:val="24"/>
        </w:rPr>
      </w:pPr>
    </w:p>
    <w:p w:rsidR="006831F4" w:rsidRDefault="006831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1F4" w:rsidRDefault="006831F4">
      <w:pPr>
        <w:jc w:val="both"/>
      </w:pPr>
    </w:p>
    <w:sectPr w:rsidR="006831F4">
      <w:headerReference w:type="default" r:id="rId7"/>
      <w:pgSz w:w="11906" w:h="16838"/>
      <w:pgMar w:top="425" w:right="850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F4" w:rsidRDefault="001B7884">
      <w:pPr>
        <w:spacing w:after="0" w:line="240" w:lineRule="auto"/>
      </w:pPr>
      <w:r>
        <w:separator/>
      </w:r>
    </w:p>
  </w:endnote>
  <w:endnote w:type="continuationSeparator" w:id="0">
    <w:p w:rsidR="006831F4" w:rsidRDefault="001B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F4" w:rsidRDefault="001B7884">
      <w:pPr>
        <w:spacing w:after="0" w:line="240" w:lineRule="auto"/>
      </w:pPr>
      <w:r>
        <w:separator/>
      </w:r>
    </w:p>
  </w:footnote>
  <w:footnote w:type="continuationSeparator" w:id="0">
    <w:p w:rsidR="006831F4" w:rsidRDefault="001B7884">
      <w:pPr>
        <w:spacing w:after="0" w:line="240" w:lineRule="auto"/>
      </w:pPr>
      <w:r>
        <w:continuationSeparator/>
      </w:r>
    </w:p>
  </w:footnote>
  <w:footnote w:id="1">
    <w:p w:rsidR="006831F4" w:rsidRDefault="001B7884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f2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Саморегулируемая организация.</w:t>
      </w:r>
    </w:p>
  </w:footnote>
  <w:footnote w:id="2">
    <w:p w:rsidR="006831F4" w:rsidRDefault="001B7884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f2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Требования к подготовке технического плана и состав содержащихся в нем сведений, утвержденные приказом Росреестра от 15.03.2022 № П/0082.</w:t>
      </w:r>
    </w:p>
  </w:footnote>
  <w:footnote w:id="3">
    <w:p w:rsidR="006831F4" w:rsidRDefault="001B7884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f2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Федеральный закон от 26.12.2024 № 487-ФЗ «О внесении изменений в отдельные законода</w:t>
      </w:r>
      <w:r>
        <w:rPr>
          <w:rFonts w:ascii="Times New Roman" w:hAnsi="Times New Roman" w:cs="Times New Roman"/>
          <w:sz w:val="16"/>
          <w:szCs w:val="16"/>
        </w:rPr>
        <w:t>тельные акты Российской Федерации».</w:t>
      </w:r>
    </w:p>
  </w:footnote>
  <w:footnote w:id="4">
    <w:p w:rsidR="006831F4" w:rsidRDefault="001B7884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f2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Градостроительный кодекс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F4" w:rsidRDefault="006831F4">
    <w:pPr>
      <w:pStyle w:val="a9"/>
      <w:jc w:val="center"/>
    </w:pPr>
  </w:p>
  <w:p w:rsidR="006831F4" w:rsidRDefault="006831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381F"/>
    <w:multiLevelType w:val="hybridMultilevel"/>
    <w:tmpl w:val="77A2FF66"/>
    <w:lvl w:ilvl="0" w:tplc="9AF41B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27A1B6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48B3A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A68D0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222AF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FC6A2CC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500E5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B306A2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1E6CDF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0E89422D"/>
    <w:multiLevelType w:val="hybridMultilevel"/>
    <w:tmpl w:val="DA12A6B0"/>
    <w:lvl w:ilvl="0" w:tplc="3126DF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BE2EF2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52C6CAB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232BA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9E6B0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687CB2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C4C2B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B4B42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302047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124A4D1B"/>
    <w:multiLevelType w:val="hybridMultilevel"/>
    <w:tmpl w:val="B7A4A988"/>
    <w:lvl w:ilvl="0" w:tplc="617675D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2322E5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A18361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8DC457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F434D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12EA58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EDA3AB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8082E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79EA38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F86102"/>
    <w:multiLevelType w:val="hybridMultilevel"/>
    <w:tmpl w:val="AE28A370"/>
    <w:lvl w:ilvl="0" w:tplc="A4828190">
      <w:start w:val="1"/>
      <w:numFmt w:val="decimal"/>
      <w:lvlText w:val="%1."/>
      <w:lvlJc w:val="left"/>
      <w:pPr>
        <w:ind w:left="709" w:hanging="360"/>
      </w:pPr>
    </w:lvl>
    <w:lvl w:ilvl="1" w:tplc="F074486C">
      <w:start w:val="1"/>
      <w:numFmt w:val="lowerLetter"/>
      <w:lvlText w:val="%2."/>
      <w:lvlJc w:val="left"/>
      <w:pPr>
        <w:ind w:left="1429" w:hanging="360"/>
      </w:pPr>
    </w:lvl>
    <w:lvl w:ilvl="2" w:tplc="BF22FB48">
      <w:start w:val="1"/>
      <w:numFmt w:val="lowerRoman"/>
      <w:lvlText w:val="%3."/>
      <w:lvlJc w:val="right"/>
      <w:pPr>
        <w:ind w:left="2149" w:hanging="180"/>
      </w:pPr>
    </w:lvl>
    <w:lvl w:ilvl="3" w:tplc="9F18E39E">
      <w:start w:val="1"/>
      <w:numFmt w:val="decimal"/>
      <w:lvlText w:val="%4."/>
      <w:lvlJc w:val="left"/>
      <w:pPr>
        <w:ind w:left="2869" w:hanging="360"/>
      </w:pPr>
    </w:lvl>
    <w:lvl w:ilvl="4" w:tplc="9F8C4B4E">
      <w:start w:val="1"/>
      <w:numFmt w:val="lowerLetter"/>
      <w:lvlText w:val="%5."/>
      <w:lvlJc w:val="left"/>
      <w:pPr>
        <w:ind w:left="3589" w:hanging="360"/>
      </w:pPr>
    </w:lvl>
    <w:lvl w:ilvl="5" w:tplc="7FAEB594">
      <w:start w:val="1"/>
      <w:numFmt w:val="lowerRoman"/>
      <w:lvlText w:val="%6."/>
      <w:lvlJc w:val="right"/>
      <w:pPr>
        <w:ind w:left="4309" w:hanging="180"/>
      </w:pPr>
    </w:lvl>
    <w:lvl w:ilvl="6" w:tplc="A0F8DB40">
      <w:start w:val="1"/>
      <w:numFmt w:val="decimal"/>
      <w:lvlText w:val="%7."/>
      <w:lvlJc w:val="left"/>
      <w:pPr>
        <w:ind w:left="5029" w:hanging="360"/>
      </w:pPr>
    </w:lvl>
    <w:lvl w:ilvl="7" w:tplc="CFB84BE4">
      <w:start w:val="1"/>
      <w:numFmt w:val="lowerLetter"/>
      <w:lvlText w:val="%8."/>
      <w:lvlJc w:val="left"/>
      <w:pPr>
        <w:ind w:left="5749" w:hanging="360"/>
      </w:pPr>
    </w:lvl>
    <w:lvl w:ilvl="8" w:tplc="F976CC2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D9C1468"/>
    <w:multiLevelType w:val="hybridMultilevel"/>
    <w:tmpl w:val="3400329A"/>
    <w:lvl w:ilvl="0" w:tplc="C7C2E0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808080"/>
        <w:sz w:val="18"/>
      </w:rPr>
    </w:lvl>
    <w:lvl w:ilvl="1" w:tplc="B068F6B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808080"/>
        <w:sz w:val="18"/>
      </w:rPr>
    </w:lvl>
    <w:lvl w:ilvl="2" w:tplc="25466B2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808080"/>
        <w:sz w:val="18"/>
      </w:rPr>
    </w:lvl>
    <w:lvl w:ilvl="3" w:tplc="014E58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808080"/>
        <w:sz w:val="18"/>
      </w:rPr>
    </w:lvl>
    <w:lvl w:ilvl="4" w:tplc="2440F44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808080"/>
        <w:sz w:val="18"/>
      </w:rPr>
    </w:lvl>
    <w:lvl w:ilvl="5" w:tplc="EAE6FBA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808080"/>
        <w:sz w:val="18"/>
      </w:rPr>
    </w:lvl>
    <w:lvl w:ilvl="6" w:tplc="F03A8B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808080"/>
        <w:sz w:val="18"/>
      </w:rPr>
    </w:lvl>
    <w:lvl w:ilvl="7" w:tplc="078A992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808080"/>
        <w:sz w:val="18"/>
      </w:rPr>
    </w:lvl>
    <w:lvl w:ilvl="8" w:tplc="2FAA106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808080"/>
        <w:sz w:val="18"/>
      </w:rPr>
    </w:lvl>
  </w:abstractNum>
  <w:abstractNum w:abstractNumId="5" w15:restartNumberingAfterBreak="0">
    <w:nsid w:val="27965B8B"/>
    <w:multiLevelType w:val="hybridMultilevel"/>
    <w:tmpl w:val="394C82CA"/>
    <w:lvl w:ilvl="0" w:tplc="05C245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4569F5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2DCAFF8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65EA5A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2A83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93A67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48832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82D9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B146B0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 w15:restartNumberingAfterBreak="0">
    <w:nsid w:val="39EB37AD"/>
    <w:multiLevelType w:val="hybridMultilevel"/>
    <w:tmpl w:val="5DD643A4"/>
    <w:lvl w:ilvl="0" w:tplc="755CE3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13A8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484F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004A5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A3442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A64E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F7A31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1C4A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7E3A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0B2C09"/>
    <w:multiLevelType w:val="hybridMultilevel"/>
    <w:tmpl w:val="19C60CA8"/>
    <w:lvl w:ilvl="0" w:tplc="0F80FD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79E87D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94E3FD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9C432C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E281F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A2EB1E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5A25F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9068E7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9020AE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F5B37FF"/>
    <w:multiLevelType w:val="hybridMultilevel"/>
    <w:tmpl w:val="C876F80A"/>
    <w:lvl w:ilvl="0" w:tplc="4AD0762A">
      <w:start w:val="1"/>
      <w:numFmt w:val="decimal"/>
      <w:lvlText w:val="%1."/>
      <w:lvlJc w:val="left"/>
      <w:pPr>
        <w:ind w:left="709" w:hanging="360"/>
      </w:pPr>
    </w:lvl>
    <w:lvl w:ilvl="1" w:tplc="AF4C8B22">
      <w:start w:val="1"/>
      <w:numFmt w:val="lowerLetter"/>
      <w:lvlText w:val="%2."/>
      <w:lvlJc w:val="left"/>
      <w:pPr>
        <w:ind w:left="1429" w:hanging="360"/>
      </w:pPr>
    </w:lvl>
    <w:lvl w:ilvl="2" w:tplc="189C7868">
      <w:start w:val="1"/>
      <w:numFmt w:val="lowerRoman"/>
      <w:lvlText w:val="%3."/>
      <w:lvlJc w:val="right"/>
      <w:pPr>
        <w:ind w:left="2149" w:hanging="180"/>
      </w:pPr>
    </w:lvl>
    <w:lvl w:ilvl="3" w:tplc="C1F4507E">
      <w:start w:val="1"/>
      <w:numFmt w:val="decimal"/>
      <w:lvlText w:val="%4."/>
      <w:lvlJc w:val="left"/>
      <w:pPr>
        <w:ind w:left="2869" w:hanging="360"/>
      </w:pPr>
    </w:lvl>
    <w:lvl w:ilvl="4" w:tplc="67B04024">
      <w:start w:val="1"/>
      <w:numFmt w:val="lowerLetter"/>
      <w:lvlText w:val="%5."/>
      <w:lvlJc w:val="left"/>
      <w:pPr>
        <w:ind w:left="3589" w:hanging="360"/>
      </w:pPr>
    </w:lvl>
    <w:lvl w:ilvl="5" w:tplc="F8FC778A">
      <w:start w:val="1"/>
      <w:numFmt w:val="lowerRoman"/>
      <w:lvlText w:val="%6."/>
      <w:lvlJc w:val="right"/>
      <w:pPr>
        <w:ind w:left="4309" w:hanging="180"/>
      </w:pPr>
    </w:lvl>
    <w:lvl w:ilvl="6" w:tplc="4766AC3E">
      <w:start w:val="1"/>
      <w:numFmt w:val="decimal"/>
      <w:lvlText w:val="%7."/>
      <w:lvlJc w:val="left"/>
      <w:pPr>
        <w:ind w:left="5029" w:hanging="360"/>
      </w:pPr>
    </w:lvl>
    <w:lvl w:ilvl="7" w:tplc="74A2FA78">
      <w:start w:val="1"/>
      <w:numFmt w:val="lowerLetter"/>
      <w:lvlText w:val="%8."/>
      <w:lvlJc w:val="left"/>
      <w:pPr>
        <w:ind w:left="5749" w:hanging="360"/>
      </w:pPr>
    </w:lvl>
    <w:lvl w:ilvl="8" w:tplc="9078C42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F4"/>
    <w:rsid w:val="001B7884"/>
    <w:rsid w:val="006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3CC96-136F-4C1C-BA91-847BB26E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basedOn w:val="af8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f8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1697</Words>
  <Characters>9674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Елена</cp:lastModifiedBy>
  <cp:revision>22</cp:revision>
  <dcterms:created xsi:type="dcterms:W3CDTF">2026-01-16T09:51:00Z</dcterms:created>
  <dcterms:modified xsi:type="dcterms:W3CDTF">2026-01-16T09:51:00Z</dcterms:modified>
</cp:coreProperties>
</file>