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Доклад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главного специалиста-эксперта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i/>
          <w:iCs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Межмуниципального Рубцовского отдела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Управления Росреестра по Алтайскому краю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Орловой Т.В.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left="709" w:right="0" w:hanging="709"/>
        <w:jc w:val="both"/>
        <w:spacing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1) Исключение наименования и внесение ВРИ 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Обращаем внимание, что из статьи 30 Градостроительного кодекса Российской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Федерации исключены положения (пункт 2 части 3) </w:t>
        <w:br/>
        <w:t xml:space="preserve">о возможности выбора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правообладателем объекта недвижимости видов разрешенного использования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капитального строительства в соответствии с правилами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землепользования и застройки. Однако, заявители продолжают обращаться с заявлениями об исключении наименования и внесение ВРИ, ссылаясь на то, что им рекомендуют так кадастровые инженеры, чтобы можно было обратиться в суд, и наработать практику.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2) Многоконтурные земельные участки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требованиями действующего законодательства (глава 1.1 Земельного кодекса РФ) земельные участки, границы которых представляют собой совокупность контуров, не могут быть образованы, следовательно, и осуществление учетно-регистрационных дейст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вий на основании документов, предусматривающих образование таких многоконтурных земельных участков, также невозможно. Между тем необходимо обратить особое внимание, что вышеуказанное правило распространяется только на случаи, при которых происходит образов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ание многоконтурного земельного участка. 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3) Внесение сведений в ФИАС и присвоении ГАР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Приказом № П/0328/24 внесены изменения в форму карты-плана территории,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межевого плана и технического плана, а также в требования к их подготовке. Изменения касаются порядка указания в формах данных документов сведений об адресах объектов недвижимости, в отношении которых документы готовятся. Приказ № П/0328/24 вступил в силу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01.02.2026, установлен переходный период до 15.03.2026 г. Еще раз напоминаем, на законодательное закрепление обязанности кадастрового инженера по обращению в орган, уполномоченный на присвоение адресов (для случаев, когда в ГАР отсутствует адрес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недвижимости, присвоенный в порядке, установленном Постановлением № 1221, и отсутствует акт уполномоченного органа на присвоение адреса в порядке, установленном до вступления в силу Постановления № 1221), поскольку в случае неисполнения данного требован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законодательства по окончанию переходного периода осуществление учетно-регистрационных действий по таким пакетам документов подлежит приостановлению на основании п. 7 ч. 1 ст. 26 Федерального закона от 13.07.2025 № 218-ФЗ «О государственной регистрации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недвижимости» (форма и (или) содержание документа, представленного для осуществления государственного кадастрового учета и (или) государственной регистрации прав, не соответствуют требованиям законодательства Российской Федерации). Ранее данная информация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доводилась до ОМС и КИ.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 же, очень много обращений, когда КИ подготавливает МП или ТП, для внесения сведений в ЕГРН об изменении основных характеристик объектов недвижимости, но при этом права собственности заявителей на момент обращения в ЕГРН не зарегистрировано, что ведет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приостановлению обращений (п. 2 ч. 1 ст. 26 218-ФЗ).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5) имеет место быть, когда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образовании ЗУ (СНТ), некоторые кадастровые инженеры не делают изменения исходного ЗУ, в связи с чем идет пересечение исходного и образуемого участков, что ведет к приостановлению кадастрового учета и регистрации права в соответствии с п. 20 ч.1 ст. 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13.07.2015 г. № 218-ФЗ.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t xml:space="preserve">1</w:t>
      </w:r>
    </w:fldSimple>
    <w:r/>
    <w:r/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2026-04-21T09:04:07Z</dcterms:modified>
</cp:coreProperties>
</file>