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afterAutospacing="0" w:line="240" w:lineRule="auto"/>
        <w:rPr>
          <w:rFonts w:ascii="Times New Roman" w:hAnsi="Times New Roman" w:eastAsia="Times New Roman" w:cs="Times New Roman"/>
          <w:bCs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Доклад </w:t>
      </w:r>
      <w:r>
        <w:rPr>
          <w:rFonts w:ascii="Times New Roman" w:hAnsi="Times New Roman" w:eastAsia="Times New Roman" w:cs="Times New Roman"/>
          <w:bCs/>
          <w:i/>
          <w:sz w:val="28"/>
          <w:szCs w:val="28"/>
        </w:rPr>
      </w:r>
      <w:r>
        <w:rPr>
          <w:rFonts w:ascii="Times New Roman" w:hAnsi="Times New Roman" w:eastAsia="Times New Roman" w:cs="Times New Roman"/>
          <w:bCs/>
          <w:i/>
          <w:sz w:val="28"/>
          <w:szCs w:val="28"/>
        </w:rPr>
      </w:r>
    </w:p>
    <w:p>
      <w:pPr>
        <w:jc w:val="right"/>
        <w:spacing w:after="0" w:afterAutospacing="0" w:line="240" w:lineRule="auto"/>
        <w:rPr>
          <w:rFonts w:ascii="Times New Roman" w:hAnsi="Times New Roman" w:eastAsia="Times New Roman" w:cs="Times New Roman"/>
          <w:bCs/>
          <w:i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i/>
          <w:sz w:val="28"/>
          <w:szCs w:val="28"/>
          <w:highlight w:val="none"/>
        </w:rPr>
        <w:t xml:space="preserve">начальника отдела правового обеспечения</w:t>
      </w:r>
      <w:r>
        <w:rPr>
          <w:rFonts w:ascii="Times New Roman" w:hAnsi="Times New Roman" w:eastAsia="Times New Roman" w:cs="Times New Roman"/>
          <w:bCs/>
          <w:i/>
          <w:sz w:val="28"/>
          <w:szCs w:val="28"/>
          <w:highlight w:val="none"/>
        </w:rPr>
      </w:r>
    </w:p>
    <w:p>
      <w:pPr>
        <w:jc w:val="right"/>
        <w:spacing w:after="0" w:afterAutospacing="0" w:line="240" w:lineRule="auto"/>
        <w:rPr>
          <w:rFonts w:ascii="Times New Roman" w:hAnsi="Times New Roman" w:eastAsia="Times New Roman" w:cs="Times New Roman"/>
          <w:bCs/>
          <w:i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</w:rPr>
        <w:t xml:space="preserve">Управления Росреестра по Алтайскому краю</w:t>
      </w:r>
      <w:r>
        <w:rPr>
          <w:rFonts w:ascii="Times New Roman" w:hAnsi="Times New Roman" w:eastAsia="Times New Roman" w:cs="Times New Roman"/>
          <w:bCs/>
          <w:i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/>
          <w:i/>
          <w:sz w:val="28"/>
          <w:szCs w:val="28"/>
          <w:highlight w:val="none"/>
        </w:rPr>
      </w:r>
    </w:p>
    <w:p>
      <w:pPr>
        <w:jc w:val="right"/>
        <w:spacing w:after="0" w:afterAutospacing="0" w:line="240" w:lineRule="auto"/>
        <w:rPr>
          <w:rFonts w:ascii="Times New Roman" w:hAnsi="Times New Roman" w:eastAsia="Times New Roman" w:cs="Times New Roman"/>
          <w:bCs/>
          <w:i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i/>
          <w:sz w:val="28"/>
          <w:szCs w:val="28"/>
          <w:highlight w:val="none"/>
        </w:rPr>
        <w:t xml:space="preserve">Майдуровой И.С.</w:t>
      </w:r>
      <w:r>
        <w:rPr>
          <w:rFonts w:ascii="Times New Roman" w:hAnsi="Times New Roman" w:eastAsia="Times New Roman" w:cs="Times New Roman"/>
          <w:bCs/>
          <w:i/>
          <w:sz w:val="28"/>
          <w:szCs w:val="28"/>
          <w:highlight w:val="none"/>
        </w:rPr>
      </w:r>
    </w:p>
    <w:p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Тема доклада: о нарушениях, допущенных кадастровыми инженерами при осуществлении кадастровых работ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    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равление Росреестра по Алтайскому краю поступило заявление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осуществлении государственного кадастрового учета </w:t>
        <w:br/>
        <w:t xml:space="preserve">и о государственной регистрации права общей совместной собственности на здание, расположенное в Алтайском районе.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ходе проведения правовой экспертизы установлено, что вышеуказанное здание расположено </w:t>
        <w:br/>
        <w:t xml:space="preserve">на земельном участке с разрешенным использ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ованием - Под жилую застройку (Индивидуальную).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Для постановки на государственный кадастровый учет объекта недвижимости был подготовлен технический план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результате выполнения кадастровых работ в связи с созданием здания. Согласно представленного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технического плана на государственный кадастровый учет ставится - одноэтажное здание, имеющее четыре отдельных выхода, назначение здания - Жилой дом, площадью 79.9 кв.м.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заключении кадастрового инженера указано, что данный жилой дом будет внесен в реестр гостевых домов.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Государственным регистратором был направлен запрос </w:t>
        <w:br/>
        <w:t xml:space="preserve">в соответствующие органы государственн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ой власти для получения информации о наличии либо об отсутствии признаков многоквартирного дома, либо признаков иного назначения объекта, является ли вышеуказанный объект в отношении, которого представлено заявление индивидуальным жилым домом, требуется ли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разрешение на строительство объекта недвижимости - жилой дом площадью 79.9 кв.м., выдавалось ли данн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ое разрешение на строительство (разрешение на ввод объекта в эксплуатацию).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Из поступившего ответа на запрос была получена информация о том, что собственник объекта капитального строительства,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 обращался </w:t>
        <w:br/>
        <w:t xml:space="preserve">в Администрацию района за разрешением на строительство и ввод </w:t>
        <w:br/>
        <w:t xml:space="preserve">в эксплуатацию данного объекта. В соответствии с представленным планом   объект капитального строительства имеет обосо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бленные помещения </w:t>
        <w:br/>
        <w:t xml:space="preserve">с отдельными входами. Данные помещения могут существовать как самостоятельные объекты недвижимости.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Согласно п. 39 ст. 1 Градостроительного кодекса РФ объект индивидуального жилищного строительства - отдельно стоящее здание </w:t>
        <w:br/>
        <w:t xml:space="preserve">с количеством 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и не пре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дназначено для раздела на самостоятельные объекты недвижимости.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Таким образом, вышеуказанный объект капитального строительства                 не может называться индивидуальным жилым домом (имеет признаки объекта иного назначения (дома блокиро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ванной застройки, гостевых домиков и т.д). В данном случае собственнику необходимо получать разрешение </w:t>
        <w:br/>
        <w:t xml:space="preserve">на строительство и ввод данного объекта.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В соответствии с частью 10 статьи 40 Закона о регистрации государственный кадастровый учет и государственная регистрация прав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созданные здание или сооружение (помещения или машиноместа в таких здании, сооружении) осуществляются на основании разрешения на ввод соответствующего объекта недвижимости в эксплуатацию и правоустанавливающего документа на земельный участок, на котором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расположен такой объект недвижимости, в том числе соглашения об установлении сервитута, решения об установлении публичного сервитута.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Для целей государственного кадастрового учета объектов недвижимости при выполнении кадастровых работ и подготовке техниче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ских планов в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оответствии с частью 13 статьи 24 Закона о регистрации приказом Росреестра от 15.03.2022 № П/0082 «Об установлении формы технического плана, требований к его подготовке и состава содержащихся в нем сведений» утверждены Требования к подготовке технического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плана и состав содержащихся в нем сведений.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Частью 8 статьи 24 Закона о регистрации установлено, что сведения </w:t>
        <w:br/>
        <w:t xml:space="preserve">о здании, сооружении или едином недвижимом комплексе, за исключением сведений о местоположении таких объектов недвижимости на земельном участке и их площади,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лощади застройки, указываются в техническом плане на основании представленных заказчиком разрешения на строительство здания, сооружения (в случае, если для строительства таких здания, сооружения в соответствии с законодательством о градостроительной деятел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ьности требуется получение такого разрешения), проектной документации таких объектов недвижимости.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При отсутствии на момент выполнения кадастровых работ возможности визуального осмотра подземных конструктивных элементов здания, сооружения или объекта незав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ершенного строительства для осуществления измерений, необходимых для определения местоположения соответствующего объекта недвижимости на земельном участке (контура здания, сооружения, объекта незавершенного строительства), допускается использование исполни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тельной документации, ведение которой предусмотрено частью 6 статьи 52 Градостроительного кодекса Российской Федерации. Представление в качестве приложения к техническому плану здания, сооружения проектной документации и (или) иной указанной </w:t>
        <w:br/>
        <w:t xml:space="preserve">в настоящей ча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сти документации (копий такой документации) </w:t>
        <w:br/>
        <w:t xml:space="preserve">не осуществляется. В техническом плане указываются сведения о такой документации. Сведения из такой документации включаются в текстовую и графическую части технического плана в объеме, предусмотренном формой техн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ического плана, требованиями к его подготовке, составом содержащихся в нем сведений.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В нарушение указанных норм технический план, представленный на государственную регистрацию, был подготовлен на основании декларации. Разрешение на ввод объекта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эксплуатацию отсутствует. Таким образом, осуществить постановку на государственный кадастровый учет и регистрацию права общей совместной собственности объекта недвижимости на  здание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не представилось возможным.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В целях устранения причин, послуживших основанием для приостановления государственной регистрац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ии, государственный регистратор предложил заявителям  дополнительно представить технический план здания, подготовленный в соответствии с действующим законодательством и документы-основания, необходимые для осуществления государственной регистрации прав.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Осуществление действий по государственному кадастровом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 учету и государственной регист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рации прав в связи с созданием объекта недвижимости было приостановлено государственным регистратором  по основаниям, предусмотренным пунктами 5 (не представлены документы, необходимые для осуществления государственного кадастрового учета и (или) государст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венной регистрации прав), 7 (форма и (или) содержание документа, представленного для осуществления государственного кадастрового учета и (или) государственной регистрации прав, </w:t>
        <w:br/>
        <w:t xml:space="preserve">не соответствуют требованиям законодательства Российской Федерации) части 1 ста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тьи 26 Закона о регистрации.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0" w:bottom="96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7"/>
      <w:jc w:val="center"/>
    </w:pPr>
    <w:fldSimple w:instr="PAGE \* MERGEFORMAT">
      <w:r>
        <w:t xml:space="preserve">1</w:t>
      </w:r>
    </w:fldSimple>
    <w:r/>
    <w:r/>
  </w:p>
  <w:p>
    <w:pPr>
      <w:pStyle w:val="687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3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5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7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9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1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3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5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7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7"/>
    <w:next w:val="837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8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7"/>
    <w:next w:val="837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8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7"/>
    <w:next w:val="837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8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7"/>
    <w:next w:val="837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8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7"/>
    <w:next w:val="837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8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7"/>
    <w:next w:val="837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8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7"/>
    <w:next w:val="837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8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7"/>
    <w:next w:val="837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8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7"/>
    <w:next w:val="837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8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No Spacing"/>
    <w:uiPriority w:val="1"/>
    <w:qFormat/>
    <w:pPr>
      <w:spacing w:before="0" w:after="0" w:line="240" w:lineRule="auto"/>
    </w:pPr>
  </w:style>
  <w:style w:type="paragraph" w:styleId="679">
    <w:name w:val="Title"/>
    <w:basedOn w:val="837"/>
    <w:next w:val="837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basedOn w:val="838"/>
    <w:link w:val="679"/>
    <w:uiPriority w:val="10"/>
    <w:rPr>
      <w:sz w:val="48"/>
      <w:szCs w:val="48"/>
    </w:rPr>
  </w:style>
  <w:style w:type="paragraph" w:styleId="681">
    <w:name w:val="Subtitle"/>
    <w:basedOn w:val="837"/>
    <w:next w:val="837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basedOn w:val="838"/>
    <w:link w:val="681"/>
    <w:uiPriority w:val="11"/>
    <w:rPr>
      <w:sz w:val="24"/>
      <w:szCs w:val="24"/>
    </w:rPr>
  </w:style>
  <w:style w:type="paragraph" w:styleId="683">
    <w:name w:val="Quote"/>
    <w:basedOn w:val="837"/>
    <w:next w:val="837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7"/>
    <w:next w:val="837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paragraph" w:styleId="687">
    <w:name w:val="Header"/>
    <w:basedOn w:val="837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Header Char"/>
    <w:basedOn w:val="838"/>
    <w:link w:val="687"/>
    <w:uiPriority w:val="99"/>
  </w:style>
  <w:style w:type="paragraph" w:styleId="689">
    <w:name w:val="Footer"/>
    <w:basedOn w:val="837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Footer Char"/>
    <w:basedOn w:val="838"/>
    <w:link w:val="689"/>
    <w:uiPriority w:val="99"/>
  </w:style>
  <w:style w:type="paragraph" w:styleId="691">
    <w:name w:val="Caption"/>
    <w:basedOn w:val="837"/>
    <w:next w:val="8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basedOn w:val="691"/>
    <w:link w:val="689"/>
    <w:uiPriority w:val="99"/>
  </w:style>
  <w:style w:type="table" w:styleId="693">
    <w:name w:val="Table Grid"/>
    <w:basedOn w:val="8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3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4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5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6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7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8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000ff" w:themeColor="hyperlink"/>
      <w:u w:val="single"/>
    </w:rPr>
  </w:style>
  <w:style w:type="paragraph" w:styleId="820">
    <w:name w:val="footnote text"/>
    <w:basedOn w:val="83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>
    <w:name w:val="Footnote Text Char"/>
    <w:link w:val="820"/>
    <w:uiPriority w:val="99"/>
    <w:rPr>
      <w:sz w:val="18"/>
    </w:rPr>
  </w:style>
  <w:style w:type="character" w:styleId="822">
    <w:name w:val="footnote reference"/>
    <w:basedOn w:val="838"/>
    <w:uiPriority w:val="99"/>
    <w:unhideWhenUsed/>
    <w:rPr>
      <w:vertAlign w:val="superscript"/>
    </w:rPr>
  </w:style>
  <w:style w:type="paragraph" w:styleId="823">
    <w:name w:val="endnote text"/>
    <w:basedOn w:val="83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basedOn w:val="838"/>
    <w:uiPriority w:val="99"/>
    <w:semiHidden/>
    <w:unhideWhenUsed/>
    <w:rPr>
      <w:vertAlign w:val="superscript"/>
    </w:rPr>
  </w:style>
  <w:style w:type="paragraph" w:styleId="826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7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8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9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30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31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32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3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4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837"/>
    <w:next w:val="837"/>
    <w:uiPriority w:val="99"/>
    <w:unhideWhenUsed/>
    <w:pPr>
      <w:spacing w:after="0" w:afterAutospacing="0"/>
    </w:pPr>
  </w:style>
  <w:style w:type="paragraph" w:styleId="837" w:default="1">
    <w:name w:val="Normal"/>
    <w:qFormat/>
  </w:style>
  <w:style w:type="character" w:styleId="838" w:default="1">
    <w:name w:val="Default Paragraph Font"/>
    <w:uiPriority w:val="1"/>
    <w:semiHidden/>
    <w:unhideWhenUsed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paragraph" w:styleId="841">
    <w:name w:val="List Paragraph"/>
    <w:basedOn w:val="837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Жаравина Галина Евгеньевна</dc:creator>
  <cp:revision>29</cp:revision>
  <dcterms:created xsi:type="dcterms:W3CDTF">2024-09-25T08:43:00Z</dcterms:created>
  <dcterms:modified xsi:type="dcterms:W3CDTF">2026-04-21T09:11:08Z</dcterms:modified>
</cp:coreProperties>
</file>