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Доклад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Куницыной Ю.В.</w:t>
      </w:r>
    </w:p>
    <w:p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селекторного совещания под председательством заместителя руководителя Росреестра Лилиной Л.С. по методическим вопросам при осуществлении учетно-регистрационных действий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27.02.2026</w:t>
      </w:r>
    </w:p>
    <w:p>
      <w:pPr>
        <w:spacing w:after="0" w:line="276" w:lineRule="auto"/>
        <w:ind w:firstLine="709"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pPr>
    </w:p>
    <w:p>
      <w:pPr>
        <w:pStyle w:val="a6"/>
        <w:numPr>
          <w:numId w:val="1"/>
          <w:ilvl w:val="0"/>
        </w:num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методических вопросах при осуществлении</w:t>
      </w:r>
    </w:p>
    <w:p>
      <w:pPr>
        <w:pStyle w:val="a6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учетно-регистрационных действий</w:t>
      </w:r>
    </w:p>
    <w:p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f9"/>
        <w:spacing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 изменениях, внесенных в действующие законодательные акты.</w:t>
      </w:r>
    </w:p>
    <w:p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Уважаемые коллеги, обращаю внимание на вступление в силу с 01.03.2026 Федерального закона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Закон № 2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5-ФЗ), на системной и комплексной основе регулирующего вопросы, связанные с установлением, определением и изменением видов разрешенного использования земельных участков.</w:t>
      </w:r>
    </w:p>
    <w:p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Земельный кодекс Российской Федерации (далее – ЗК) внесены изменения, предусматривающие установление случаев, когда:</w:t>
      </w:r>
    </w:p>
    <w:p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образуемых земельных участков может отличаться от вида разрешенного использования исходных земельных участков;</w:t>
      </w:r>
    </w:p>
    <w:p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объединение или перераспределение земельных участков с различными видами разрешенного использования.</w:t>
      </w:r>
    </w:p>
    <w:p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ЗК дополнен новой главой II.1, положения которой, в частности, устанавливают следующее:</w:t>
      </w:r>
    </w:p>
    <w:p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вид разрешенного использования земельного участка считается выбранным в отношении земельного участка со дня внесения сведений о соответствующем виде разрешенного использования в Единый государственный реестр недвижимости (ЕГРН);</w:t>
      </w:r>
    </w:p>
    <w:p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земельного участка в соответствии с условно разрешенным видом разрешенного использования земельного участка допускается только после предоставления разрешения в порядке, предусмотренном федеральным законом, и </w:t>
      </w:r>
      <w:r>
        <w:rPr>
          <w:rFonts w:ascii="Times New Roman" w:hAnsi="Times New Roman" w:cs="Times New Roman"/>
          <w:sz w:val="28"/>
          <w:szCs w:val="28"/>
        </w:rPr>
        <w:t xml:space="preserve">внесения сведений об условно разрешенном виде разрешенного использования земельного участка в ЕГРН;</w:t>
      </w:r>
    </w:p>
    <w:p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разрешенное использование (назначение) зданий или сооружений должно соответствовать видам разрешенного использования земельного участка, на котором они расположены, за исключением случаев, предусмотренных ЗК;</w:t>
      </w:r>
    </w:p>
    <w:p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выбора основного вида разрешенного использования земельного участка из видов разрешенного использования, установленных регламентами использования земель, правообладатель земельного участка обязан направить заявление о внесении в ЕГРН сведений о выбранных виде или видах разрешенного использования земельного участка в орган регистрации прав (его направление не требуется, если правообладатель земельного участка планирует или осуществляет его использование в соответствии с основным видом или видами разрешенного использования земельного участка, сведения о которых внесены в ЕГРН).</w:t>
      </w:r>
    </w:p>
    <w:p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6 Федерального закона от 13.07.2015 № 218-ФЗ «О государственной регистрации недвижимости» (далее – Закон № 218-ФЗ) дополнена статьей 60.3, определяющей особенности учетно-регистрационных действий в связи с выбором вида или видов разрешенного использования земельного участка.</w:t>
      </w:r>
    </w:p>
    <w:p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Законом № 295-ФЗ статья 69 Закона № 218-ФЗ дополнена частями 11 и 12, определяющими порядок и основания внесения в ЕГРН сведений о виде или видах разрешенного использования ранее учтенного земельного участка.</w:t>
      </w:r>
    </w:p>
    <w:p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вступлении в силу Закона № 295-ФЗ доведена до сведения территориальных органов Росреестра письмом Росреестра от 18.02.2026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14-1565-ЛЛ/26.</w:t>
      </w:r>
    </w:p>
    <w:p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довести изложенную информацию до сведения государственных регистраторов обеспечить неукоснительное применение норм законодательства с учетом внесенных изменений.</w:t>
      </w:r>
    </w:p>
    <w:p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к названному письму, с учетом поступивших вопросов полагаю необходимым также отметить, что:</w:t>
      </w:r>
    </w:p>
    <w:p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пункт 3 статьи 14.4 ЗК (в редакции Закона № 295-ФЗ) устанавливает запрет на изменение арендатором вида разрешенного использования земельного участка,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предоставленного ему в аренду (исключение предусмотрено только для арендатора земельного участка, с которым заключен договор о комплексном развитии территории либо который обеспечивает в соответствии с Градостроительным кодексом Российской Федерации реализацию решения о комплексном развитии территории в период действия указанных договора и (или) решения, а также для арендатора земельного участка, образованного до дня вступления в силу Закона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295-ФЗ исключительно для целей размещения линейных объектов и их неотъемлемых технологических частей (см. часть 8 статьи 16 Закона № 295-ФЗ);</w:t>
      </w:r>
    </w:p>
    <w:p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Закон № 295-ФЗ признал утратившей силу часть 4 статьи 37 Градостроительного кодекса Российской Федерации, которая предусматривала возможность выбора правообладателем объекта капитального строительства основного и вспомогательного вида разрешенного использования такого объекта капитального строительства. Соответственно, с 01.03.2026 изменение ВРИ объекта капитального строительства только лишь на основании заявления его правообладателя о выборе ВРИ не осуществляется. На что также обращалось внимание в письме Росреестра от 03.12.2025 № 01-12685-ЛЛ/25.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</w:rPr>
        <w:t xml:space="preserve">Также обращаю внимание на вступивший в силу с 10.02.2026 </w:t>
      </w:r>
      <w:r>
        <w:rPr>
          <w:rFonts w:ascii="Times New Roman" w:hAnsi="Times New Roman" w:cs="Times New Roman"/>
          <w:sz w:val="28"/>
        </w:rPr>
        <w:t xml:space="preserve">Федеральный закон от 30.01.2026 </w:t>
      </w:r>
      <w:r>
        <w:rPr>
          <w:rFonts w:ascii="Times New Roman" w:hAnsi="Times New Roman" w:cs="Times New Roman"/>
          <w:sz w:val="28"/>
        </w:rPr>
        <w:t xml:space="preserve">№</w:t>
      </w:r>
      <w:r>
        <w:rPr>
          <w:rFonts w:ascii="Times New Roman" w:hAnsi="Times New Roman" w:cs="Times New Roman"/>
          <w:sz w:val="28"/>
        </w:rPr>
        <w:t xml:space="preserve"> 12-ФЗ </w:t>
      </w:r>
      <w:r>
        <w:rPr>
          <w:rFonts w:ascii="Times New Roman" w:hAnsi="Times New Roman" w:cs="Times New Roman"/>
          <w:sz w:val="28"/>
        </w:rPr>
        <w:t xml:space="preserve">«</w:t>
      </w:r>
      <w:r>
        <w:rPr>
          <w:rFonts w:ascii="Times New Roman" w:hAnsi="Times New Roman" w:cs="Times New Roman"/>
          <w:sz w:val="28"/>
        </w:rPr>
        <w:t xml:space="preserve">О внесении изменений в статьи 39.28 и 39.29 Земельного кодекса Российской Федерации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</w:rPr>
        <w:t xml:space="preserve">», которым уточнены отдельные положения ЗК о перераспределении земельных участков, а также п</w:t>
      </w:r>
      <w:r>
        <w:rPr>
          <w:rFonts w:ascii="Times New Roman" w:hAnsi="Times New Roman" w:cs="Times New Roman"/>
          <w:sz w:val="28"/>
        </w:rPr>
        <w:t xml:space="preserve">ункт</w:t>
      </w:r>
      <w:r>
        <w:rPr>
          <w:rFonts w:ascii="Times New Roman" w:hAnsi="Times New Roman" w:cs="Times New Roman"/>
          <w:sz w:val="28"/>
        </w:rPr>
        <w:t xml:space="preserve">а</w:t>
      </w:r>
      <w:r>
        <w:rPr>
          <w:rFonts w:ascii="Times New Roman" w:hAnsi="Times New Roman" w:cs="Times New Roman"/>
          <w:sz w:val="28"/>
        </w:rPr>
        <w:t xml:space="preserve"> 28 части 1 статьи 26</w:t>
      </w:r>
      <w:r>
        <w:rPr>
          <w:rFonts w:ascii="Times New Roman" w:hAnsi="Times New Roman" w:cs="Times New Roman"/>
          <w:sz w:val="28"/>
        </w:rPr>
        <w:t xml:space="preserve"> Закона № 218-ФЗ.</w:t>
      </w:r>
    </w:p>
    <w:p>
      <w:pPr>
        <w:pStyle w:val="a6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внесении в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ЕГРН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сведений о цене сделки.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вопросу внесения в ЕГРН сведений о цене сделки обращаю внимание на то, что в настоящее время </w:t>
      </w:r>
      <w:r>
        <w:rPr>
          <w:rFonts w:ascii="Times New Roman" w:hAnsi="Times New Roman" w:cs="Times New Roman"/>
          <w:sz w:val="28"/>
        </w:rPr>
        <w:t xml:space="preserve">поле «Цена объекта по договору»</w:t>
      </w:r>
      <w:r>
        <w:rPr>
          <w:rFonts w:ascii="Times New Roman" w:hAnsi="Times New Roman" w:cs="Times New Roman"/>
          <w:sz w:val="28"/>
        </w:rPr>
        <w:t xml:space="preserve"> ни в </w:t>
      </w:r>
      <w:r>
        <w:rPr>
          <w:rFonts w:ascii="Times New Roman" w:hAnsi="Times New Roman" w:cs="Times New Roman"/>
          <w:sz w:val="28"/>
        </w:rPr>
        <w:t xml:space="preserve">ФГИС ЕГРН </w:t>
      </w:r>
      <w:r>
        <w:rPr>
          <w:rFonts w:ascii="Times New Roman" w:hAnsi="Times New Roman" w:cs="Times New Roman"/>
          <w:sz w:val="28"/>
        </w:rPr>
        <w:t xml:space="preserve">1</w:t>
      </w:r>
      <w:r>
        <w:rPr>
          <w:rFonts w:ascii="Times New Roman" w:hAnsi="Times New Roman" w:cs="Times New Roman"/>
          <w:sz w:val="28"/>
        </w:rPr>
        <w:t xml:space="preserve">.0</w:t>
      </w:r>
      <w:r>
        <w:rPr>
          <w:rFonts w:ascii="Times New Roman" w:hAnsi="Times New Roman" w:cs="Times New Roman"/>
          <w:sz w:val="28"/>
        </w:rPr>
        <w:t xml:space="preserve">, ни в ФГИС ЕГРН 2.0</w:t>
      </w:r>
      <w:r>
        <w:rPr>
          <w:rFonts w:ascii="Times New Roman" w:hAnsi="Times New Roman" w:cs="Times New Roman"/>
          <w:sz w:val="28"/>
        </w:rPr>
        <w:t xml:space="preserve"> не подлежит заполнению.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Прошу повторно довести указанную информацию до государственных регистраторов прав, так как регулярно поступают сигналы о заполнении данного поля.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Напоминаю, что сведения о цене сделки надо вносить в ЕГРН в соответствии в Порядком ведения ЕГРН, с корректным указанием цены и количества объекта, чтобы выгрузки данных сведений не вводили никого в заблуждение.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 реестре государственных регистраторов прав.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13.02.2026 Минюстом России зарегистрирован приказ Росреестра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от 17.11.2025 </w:t>
      </w:r>
      <w:r>
        <w:rPr>
          <w:rFonts w:ascii="Times New Roman" w:hAnsi="Times New Roman" w:cs="Times New Roman"/>
          <w:sz w:val="28"/>
        </w:rPr>
        <w:t xml:space="preserve">№</w:t>
      </w:r>
      <w:r>
        <w:rPr>
          <w:rFonts w:ascii="Times New Roman" w:hAnsi="Times New Roman" w:cs="Times New Roman"/>
          <w:sz w:val="28"/>
        </w:rPr>
        <w:t xml:space="preserve"> П/0410/25 </w:t>
      </w:r>
      <w:r>
        <w:rPr>
          <w:rFonts w:ascii="Times New Roman" w:hAnsi="Times New Roman" w:cs="Times New Roman"/>
          <w:sz w:val="28"/>
        </w:rPr>
        <w:t xml:space="preserve">«</w:t>
      </w:r>
      <w:r>
        <w:rPr>
          <w:rFonts w:ascii="Times New Roman" w:hAnsi="Times New Roman" w:cs="Times New Roman"/>
          <w:sz w:val="28"/>
        </w:rPr>
        <w:t xml:space="preserve">Об утверждении Порядка ведения реестра государственных регистраторов прав и состава сведений, вносимых в реестр государственных регистраторов прав</w:t>
      </w:r>
      <w:r>
        <w:rPr>
          <w:rFonts w:ascii="Times New Roman" w:hAnsi="Times New Roman" w:cs="Times New Roman"/>
          <w:sz w:val="28"/>
        </w:rPr>
        <w:t xml:space="preserve">». Данный приказ вступит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признания утратившим силу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приказа</w:t>
      </w:r>
      <w:r>
        <w:rPr>
          <w:rFonts w:ascii="Times New Roman" w:hAnsi="Times New Roman" w:cs="Times New Roman"/>
          <w:sz w:val="28"/>
          <w:szCs w:val="28"/>
        </w:rPr>
        <w:t xml:space="preserve"> Минэкономразвития России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19.11.2015 № 860 «Об утверждении порядка ведения и состава сведений реестра государственных регистраторов прав». 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за методическое сопровождение данного приказа является Управление государственной службы и кадров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</w:p>
    <w:p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f9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 применении пункта 3 статьи 574 Г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ражданского кодекса Российской Федерации (далее – ГК)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Коллеги, уверена, что вопрос о применении пункта 3 статьи 574 ГК уже не вызывает ни у кого сомнений, в том числе с учетом доведенной до вас год назад информации (на селектором совещании, состоявшемся 28.02.2025, и отраженной в пункте 30 приложения к протоколу Росреестра от 25.03.2025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ТГ/026-ПР/25) о том, что договоры дарения между гражданами подлежат нотариальному удостоверению, пункт 3 статьи 574 ГК каких-либо исключений не содержит (в том числе независимо от содержания части 1.1 статьи 42 Закона № 218-ФЗ).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 все же (наверное, даже больше в помощь государственным регистраторам прав для написания соответствующих уведомлений, подготовки ответов на обращения) хочу обратить ваше внимание на раздел «Разъяснения по вопросам, возникающим в судебной практике» Обзора судебной практики Верховного Суда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№ 4 (2025), утвержденного Президиумом Верховного Суда Российской Федерации 22.12.2025, в котором в том числе указано, что: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требования к форме и содержанию договора дарения недвижимого имущества, заключенного между гражданами, определяются статьей 574 ГК, положения иных законов, содержащих аналогичное регулирование, должны ей соответствовать;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отсутствия нотариального удостоверения договора дарения доли в праве общей собственности на объект недвижимости при отчуждении всеми участниками долевой собственности своих долей по одной сделке, а также в случае, когда в результате сделки один из участников долевой собственности становится единственным собственником объекта недвижимости, государственная регистрация перехода права собственности приостанавливается с последующим отказом в совершении регистрационных действий (пункт 13 части 1 статьи 26, часть 1 статьи 27 Закона № 218-ФЗ).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довести данную информацию до государственных регистраторов прав и иных сотрудников территориальных органов (в соответствии с их компетенцией).</w:t>
      </w:r>
    </w:p>
    <w:p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О вопросах кредитных организаций, связанных с работой территориальных органов Росреестра.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конце прошлого – начале этого года в Росреестре в очередной раз рассматривались поступившие от кредитных организаций вопросы, связанные в том числе с работой территориальных органов Росреестра. Некоторые из них я хочу прокомментировать.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Кредитными организациями были приведены примеры случаев, когда государственные регистраторы прав определяли срок принятия решения по заявлениям, ориентируясь на дату их формирования в XML-формате, а не на дату подачи таких заявлений в Росреестр. Так, например, заявление о внесении изменений в ЕГРН было подписано 25.04.2025, документы для осуществления регистрационных действий были направлены 28.04.2025, при этом уведомление о возврате документов без рассмотрения по причине отсутствия информации об уплате государственной пошлины датировано 30.04.2025</w:t>
      </w:r>
      <w:r>
        <w:rPr>
          <w:rFonts w:ascii="Times New Roman" w:hAnsi="Times New Roman" w:cs="Times New Roman"/>
          <w:sz w:val="28"/>
          <w:szCs w:val="28"/>
        </w:rPr>
        <w:t xml:space="preserve"> (Краснодарский край)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Коллеги, все мы знаем, что независимо от формы представления документов (в том числе если соответствующее заявление и приложенные к нему документы представляются в электронном виде) срок осуществления государственного кадастрового учета и (или) государственной регистрации прав, установленный частью 1 статьи 16 Закона № 218-ФЗ, исходя из буквального прочтения данной нормы, исчисляется со дня приема/поступления документов в орган регистрации прав.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Применительно к приведенному примеру нарушен срок, установленный пунктом 3 статьи 25 Закона № 218-ФЗ (решение о возврате без рассмотрения должно было быть принято не раньше 06.05.2025).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Кредитные организации также продолжают выявлять случаи непередачи  в нарушение пункта 3 статьи 13.3 Закона об ипотеке органом регистрации прав электронных закладных в депозитарии</w:t>
      </w:r>
      <w:r>
        <w:rPr>
          <w:rFonts w:ascii="Times New Roman" w:hAnsi="Times New Roman" w:cs="Times New Roman"/>
          <w:sz w:val="28"/>
          <w:szCs w:val="28"/>
        </w:rPr>
        <w:t xml:space="preserve"> (Республика Коми, Краснодарский край)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Коллеги, до территориальных органов Росреестра неоднократно доводилась информация о неукоснительном соблюдении сроков, в том числе установленных пунктом 3 статьи 25 Закона № 218-ФЗ, а также о неукоснительном соблюдении положений указанной нормы Закона об ипотеке, детально регламентирующей процедуру взаимодействия органа регистрации прав и депозитария при выдаче электронной закладной.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очередной раз акцентирую ваше внимание на этих проблемах. Необходимо усилить контроль в части соблюдения государственными регистраторами прав указанных норм Закона № 218-ФЗ и Закона об ипотеке соответственно при принятии решений о возврате документов без рассмотрения и при передаче электронных закладных в депозитарии; дополнительно провести с регистраторами соответствующую работу.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О вопросах застройщиков, связанных с работой территориальных органов Росреестра.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Коллеги, как вы все знаете, по уже сложившейся традиции Росреестром регулярно проводятся совещания с участниками профессиональных сообществ по </w:t>
      </w:r>
      <w:r>
        <w:rPr>
          <w:rFonts w:ascii="Times New Roman" w:hAnsi="Times New Roman" w:cs="Times New Roman"/>
          <w:sz w:val="28"/>
          <w:szCs w:val="28"/>
        </w:rPr>
        <w:t xml:space="preserve">вопросам, возникающим в ходе их профессиональной деятельности, в том числе связанным с работой территориальных органов Росреестра. В настоящее время в Росреестре в рамках подготовки к совещанию с представителями застройщиков рассматриваются вопросы, поступившие от участников этого профессионального сообщества.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Застройщики указывают о наличии случаев длительного (около 3 недель) непоступления из некоторых территориальных органов Росреестра уведомлений о регистрации соглашений о расторжении ДДУ, а также о непоступлении в принципе таких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(Москва, Московская область)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сообщили нам наши коллеги из Управления стратегического развития и цифровой трансформации Росреестра, Росреестром проведены мероприятия по доработке ФГИС ЕГРН в части реализации задачи по формированию выписок из ЕГРН по результатам государственной регистрации соглашений о расторжении ДДУ. Вывод результатов выполненных работ на промышленный контур ФГИС ЕГРН будет осуществлен в соответствии с релизным планом-графиком вывода доработок ФГИС ЕГРН.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Однако пока возможность формирования таких выписок средствами ФГИС ЕГРН отсутствует, коллеги, прошу провести с регистраторами соответствующую работу в целях исключения случаев, о которых говорят застройщики.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7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 годе завершения строительства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Коллеги, я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уже не раз обращала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ваше внимание на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то, что с 01.03.2025 статья 52 ГрК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дополнена в том числе частью 13, согласно которой в случае, если в соответствии с частью 17 статьи 51 ГрК для строительства или реконструкции здания или сооружения не требуются получение разрешения на строительство и (или) подготовка проектной документации, строительство или реконструкция здания или сооружения (помещений или машино-мест в таких здании или сооружении) считаются завершенными со дня осуществления их ГКУ. 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При этом, до настоящего времени, нами выявляются случаи, когда в ЕГРН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вносятся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сведения о годе завершения строительства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не соответствующем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году осуществления ГКУ.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В этой связи, коллеги, еще раз обращаю ваше внимание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на то, что год завершения строительства объекта недвижимости, для которого в соответствии с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частью 17 статьи 51 ГрК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не требуется получение разрешительных документов, должен соответствовать году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осуществления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ГКУ. 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При этом, е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сли заявление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об осуществлении учетно-регистрационных действий в отношении объектов недвижимости, указанных в части 13 статьи 52 ГрК, в том числе в случаях, если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соответствующие заявление и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технический план,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подготовленный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в 2025 году, представлен в орган регистрации прав </w:t>
      </w:r>
      <w:r>
        <w:rPr>
          <w:rFonts w:ascii="Times New Roman" w:hAnsi="Times New Roman" w:eastAsia="Calibri" w:cs="Times New Roman"/>
          <w:iCs/>
          <w:sz w:val="28"/>
          <w:szCs w:val="28"/>
        </w:rPr>
        <w:br/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в 2025 году, но по различным причинам (например, заявление подано в пос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ледних числах декабря 2025 года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либо в 2025 году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учетно-регистрационные действия приостановлены и срок истекает уже в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2026 год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у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) решение о государственном кадастровом учете принято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уже в 2026 году, то в таком случае в ЕГРН вносится год завершения строительства – 2026 г. В данном случае указание в техническом плане года завершения строительства – 2025 не будет являться основанием для приостановления ГКУ и (или) государственной регистрации прав.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При этом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год завершения строительства</w:t>
      </w:r>
      <w:r>
        <w:t xml:space="preserve">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объекта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недвижимости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, указанный в техническом плане и декларации об объекте недвижимости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должен соответствовать году подготовки технического плана, за исключением случаев, когда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техническ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ий план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подготовлен с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использован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ием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документ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ов, подтверждающих иной год завершения строительства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(например, технический паспорт, составленный до 01.01.2013)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, т.е. кадастровые инженеры в отсутствие подтверждающих год завершения строительства объекта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недвижимости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документов не могут внести в технический план иной год завершения строительства отличный от года подготовки технического плана, указанное обстоятельство будет являться основанием для приостановления ГКУ и (или) государственной регистрации прав.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Прошу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руководителей территориальных органов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довести указанную информацию до государственных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регистраторов прав, саморегулируемых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организаций кадастровых инженеров и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обеспечить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корректное внесение в ЕГРН сведений о годе завершения строительства объектов недвижимости.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b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iCs/>
          <w:sz w:val="28"/>
          <w:szCs w:val="28"/>
        </w:rPr>
        <w:t xml:space="preserve">8. Об указании в </w:t>
      </w:r>
      <w:r>
        <w:rPr>
          <w:rFonts w:ascii="Times New Roman" w:hAnsi="Times New Roman" w:eastAsia="Calibri" w:cs="Times New Roman"/>
          <w:b/>
          <w:i/>
          <w:iCs/>
          <w:sz w:val="28"/>
          <w:szCs w:val="28"/>
        </w:rPr>
        <w:t xml:space="preserve">межевом и</w:t>
      </w:r>
      <w:r>
        <w:rPr>
          <w:rFonts w:ascii="Times New Roman" w:hAnsi="Times New Roman" w:eastAsia="Calibri" w:cs="Times New Roman"/>
          <w:b/>
          <w:i/>
          <w:iCs/>
          <w:sz w:val="28"/>
          <w:szCs w:val="28"/>
        </w:rPr>
        <w:t xml:space="preserve"> техническом плане</w:t>
      </w:r>
      <w:r>
        <w:rPr>
          <w:rFonts w:ascii="Times New Roman" w:hAnsi="Times New Roman" w:eastAsia="Calibri" w:cs="Times New Roman"/>
          <w:b/>
          <w:i/>
          <w:iCs/>
          <w:sz w:val="28"/>
          <w:szCs w:val="28"/>
        </w:rPr>
        <w:t xml:space="preserve">, карт</w:t>
      </w:r>
      <w:r>
        <w:rPr>
          <w:rFonts w:ascii="Times New Roman" w:hAnsi="Times New Roman" w:eastAsia="Calibri" w:cs="Times New Roman"/>
          <w:b/>
          <w:i/>
          <w:iCs/>
          <w:sz w:val="28"/>
          <w:szCs w:val="28"/>
        </w:rPr>
        <w:t xml:space="preserve">е-плане территории информация об адресе объекта в виде его уникального идентификатора.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С 1 февраля 2026 года вступил в силу приказ Росреестра от 23.10.2024 </w:t>
      </w:r>
      <w:r>
        <w:rPr>
          <w:rFonts w:ascii="Times New Roman" w:hAnsi="Times New Roman" w:eastAsia="Calibri" w:cs="Times New Roman"/>
          <w:iCs/>
          <w:sz w:val="28"/>
          <w:szCs w:val="28"/>
        </w:rPr>
        <w:br/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№ П/0328/24, согласно которому в документах на осуществление кадастрового учета (межевой или технический план, карта-план территории) должна быть указана информация об адресе объекта в виде его уникального идентификатора.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Ранее ка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дастровые инженеры должны были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указывать в документах полный адрес объекта. 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Теперь вместо длинного текстового адреса в документах будет указываться его цифровой код - уникальный идентификатор адреса, который присваивается каждому дому, участку в Государственном адресном реестре (ГАР).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Если адреса у дома или участка ещё нет, то кадастровый инженер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должен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сам инициировать его присвоение.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тсутствие в документах адреса в виде его уникального идентификатора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должно являться основанием для приостановления учетно-регистрационных действий. Вместе с тем, учитывая нашу с вами работу по сокращению доли решений о приостановлении, уверена, что вы уже провели соответствующую работу с сообществами кадастровых инженеров, если же нет, то такую работу необходимо провести в кратчайшие сроки. 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</w:p>
    <w:p>
      <w:pPr>
        <w:spacing w:after="0" w:line="360" w:lineRule="auto"/>
        <w:ind w:firstLine="709"/>
        <w:contextualSpacing/>
        <w:jc w:val="center"/>
        <w:rPr>
          <w:rFonts w:ascii="Times New Roman" w:hAnsi="Times New Roman" w:eastAsia="Calibri" w:cs="Times New Roman"/>
          <w:b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b/>
          <w:i/>
          <w:iCs/>
          <w:sz w:val="28"/>
          <w:szCs w:val="28"/>
        </w:rPr>
        <w:t xml:space="preserve">9</w:t>
      </w:r>
      <w:r>
        <w:rPr>
          <w:rFonts w:ascii="Times New Roman" w:hAnsi="Times New Roman" w:eastAsia="Calibri" w:cs="Times New Roman"/>
          <w:b/>
          <w:i/>
          <w:i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sz w:val="28"/>
          <w:szCs w:val="28"/>
        </w:rPr>
        <w:t xml:space="preserve">Заявления застройщиков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Коллеги, также обращаю Ваше внимание, что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мы начали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по новому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монитори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ть вопрос государственной регистрации прав застройщиками за участников долевого строительства и своих прав (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письмом Росреестра от 24.12.2025 </w:t>
      </w:r>
      <w:r>
        <w:rPr>
          <w:rFonts w:ascii="Times New Roman" w:hAnsi="Times New Roman" w:eastAsia="Calibri" w:cs="Times New Roman"/>
          <w:iCs/>
          <w:sz w:val="28"/>
          <w:szCs w:val="28"/>
        </w:rPr>
        <w:br/>
        <w:t xml:space="preserve">№ 14-13632-ЛЛ/25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. 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В соответствии с данным поручением, в целях мониторинга применения части 6 статьи 16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Закона № 214-ФЗ</w:t>
      </w:r>
      <w:r>
        <w:rPr>
          <w:rStyle w:val="af4"/>
          <w:rFonts w:ascii="Times New Roman" w:hAnsi="Times New Roman" w:eastAsia="Calibri" w:cs="Times New Roman"/>
          <w:iCs/>
          <w:sz w:val="28"/>
          <w:szCs w:val="28"/>
        </w:rPr>
        <w:footnoteReference w:id="2"/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территориальным органам необходимо представлять информацию о ходе государственной регистрации права собственности участников долевого строительства на основании заявлений застройщиков ежемесячно не позднее 5 числа месяца. Указанная информация подлежит заполнению по установленной форме и размещению на внутреннем портале. 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Обращаю внимание, что первые два месяца мы фиксировали случаи размещения информации с нарушением установленного срока, прошу такие ситуации исключить.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Итоги анализа с динамикой мы подведем на следующем совещании, пока просто озвучу несколько цифр.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По итогам 2025 года всего территориальными органами Росреестра был поставлен на государственный кадастровый учет 36 461 многоквартирн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ый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дом (далее – МКД). Количество помещений, машино-мест в МКД, строительство которых осуществлялось в рамках Закона № 214-ФЗ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за 2025 год составило</w:t>
      </w:r>
      <w:r>
        <w:rPr>
          <w:rFonts w:ascii="Times New Roman" w:hAnsi="Times New Roman" w:eastAsia="Calibri" w:cs="Times New Roman"/>
          <w:iCs/>
          <w:sz w:val="28"/>
          <w:szCs w:val="28"/>
        </w:rPr>
        <w:br/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1 080 838, из них права собственности были зарегистрированы на 768 571 объекта (71,1%).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При этом по заявлениям застройщиков было зарегистрировано 70% от общего количества зарегистрированных прав, из которых по заявлениям застройщиков, представленных за участника долевого строительства было зарегистрировано 55,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%.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Динамика на конец </w:t>
      </w:r>
      <w:r>
        <w:rPr>
          <w:rFonts w:ascii="Times New Roman" w:hAnsi="Times New Roman" w:cs="Times New Roman"/>
          <w:sz w:val="28"/>
        </w:rPr>
        <w:t xml:space="preserve">январ</w:t>
      </w:r>
      <w:r>
        <w:rPr>
          <w:rFonts w:ascii="Times New Roman" w:hAnsi="Times New Roman" w:cs="Times New Roman"/>
          <w:sz w:val="28"/>
        </w:rPr>
        <w:t xml:space="preserve">я</w:t>
      </w:r>
      <w:r>
        <w:rPr>
          <w:rFonts w:ascii="Times New Roman" w:hAnsi="Times New Roman" w:cs="Times New Roman"/>
          <w:sz w:val="28"/>
        </w:rPr>
        <w:t xml:space="preserve"> 2026 года </w:t>
      </w:r>
      <w:r>
        <w:rPr>
          <w:rFonts w:ascii="Times New Roman" w:hAnsi="Times New Roman" w:cs="Times New Roman"/>
          <w:sz w:val="28"/>
        </w:rPr>
        <w:t xml:space="preserve">составила + 236 МКД (всего</w:t>
      </w:r>
      <w:r>
        <w:rPr>
          <w:rFonts w:ascii="Times New Roman" w:hAnsi="Times New Roman" w:cs="Times New Roman"/>
          <w:sz w:val="28"/>
        </w:rPr>
        <w:t xml:space="preserve"> 36 697 МКД</w:t>
      </w:r>
      <w:r>
        <w:rPr>
          <w:rFonts w:ascii="Times New Roman" w:hAnsi="Times New Roman" w:cs="Times New Roman"/>
          <w:sz w:val="28"/>
        </w:rPr>
        <w:t xml:space="preserve">)</w:t>
      </w:r>
      <w:r>
        <w:rPr>
          <w:rFonts w:ascii="Times New Roman" w:hAnsi="Times New Roman" w:cs="Times New Roman"/>
          <w:sz w:val="28"/>
        </w:rPr>
        <w:t xml:space="preserve">. 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Количество помещений, машино-мест в МКД, строительство которых осуществлялось в рамках Закона № 214-ФЗ</w:t>
      </w:r>
      <w:r>
        <w:rPr>
          <w:rFonts w:ascii="Times New Roman" w:hAnsi="Times New Roman" w:cs="Times New Roman"/>
          <w:sz w:val="28"/>
        </w:rPr>
        <w:t xml:space="preserve"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увеличилось на + 119 283 (всего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1 200</w:t>
      </w:r>
      <w:r>
        <w:rPr>
          <w:rFonts w:ascii="Times New Roman" w:hAnsi="Times New Roman" w:cs="Times New Roman"/>
          <w:sz w:val="28"/>
        </w:rPr>
        <w:t xml:space="preserve"> </w:t>
      </w:r>
      <w:r>
        <w:rPr>
          <w:rFonts w:ascii="Times New Roman" w:hAnsi="Times New Roman" w:cs="Times New Roman"/>
          <w:sz w:val="28"/>
        </w:rPr>
        <w:t xml:space="preserve">121</w:t>
      </w:r>
      <w:r>
        <w:rPr>
          <w:rFonts w:ascii="Times New Roman" w:hAnsi="Times New Roman" w:cs="Times New Roman"/>
          <w:sz w:val="28"/>
        </w:rPr>
        <w:t xml:space="preserve">)</w:t>
      </w:r>
      <w:r>
        <w:rPr>
          <w:rFonts w:ascii="Times New Roman" w:hAnsi="Times New Roman" w:cs="Times New Roman"/>
          <w:sz w:val="28"/>
        </w:rPr>
        <w:t xml:space="preserve">, и</w:t>
      </w:r>
      <w:r>
        <w:rPr>
          <w:rFonts w:ascii="Times New Roman" w:hAnsi="Times New Roman" w:cs="Times New Roman"/>
          <w:sz w:val="28"/>
        </w:rPr>
        <w:t xml:space="preserve"> динамика по общему количеству помещений с зарегистрированными правами составила + 70 664 (всего</w:t>
      </w:r>
      <w:r>
        <w:rPr>
          <w:rFonts w:ascii="Times New Roman" w:hAnsi="Times New Roman" w:cs="Times New Roman"/>
          <w:sz w:val="28"/>
        </w:rPr>
        <w:t xml:space="preserve"> на 839 235 объекта</w:t>
      </w:r>
      <w:r>
        <w:rPr>
          <w:rFonts w:ascii="Times New Roman" w:hAnsi="Times New Roman" w:cs="Times New Roman"/>
          <w:sz w:val="28"/>
        </w:rPr>
        <w:t xml:space="preserve">). При этом процент помещений с зарегистрированными правами уменьшился на 0,2% и составил 69,9%</w:t>
      </w:r>
      <w:r>
        <w:rPr>
          <w:rFonts w:ascii="Times New Roman" w:hAnsi="Times New Roman" w:cs="Times New Roman"/>
          <w:sz w:val="28"/>
        </w:rPr>
        <w:t xml:space="preserve">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этом </w:t>
      </w:r>
      <w:r>
        <w:rPr>
          <w:rFonts w:ascii="Times New Roman" w:hAnsi="Times New Roman" w:cs="Times New Roman"/>
          <w:sz w:val="28"/>
        </w:rPr>
        <w:t xml:space="preserve">процент </w:t>
      </w:r>
      <w:r>
        <w:rPr>
          <w:rFonts w:ascii="Times New Roman" w:hAnsi="Times New Roman" w:cs="Times New Roman"/>
          <w:sz w:val="28"/>
        </w:rPr>
        <w:t xml:space="preserve">по заявлениям застройщиков </w:t>
      </w:r>
      <w:r>
        <w:rPr>
          <w:rFonts w:ascii="Times New Roman" w:hAnsi="Times New Roman" w:cs="Times New Roman"/>
          <w:sz w:val="28"/>
        </w:rPr>
        <w:t xml:space="preserve">увеличился и составил</w:t>
      </w:r>
      <w:r>
        <w:rPr>
          <w:rFonts w:ascii="Times New Roman" w:hAnsi="Times New Roman" w:cs="Times New Roman"/>
          <w:sz w:val="28"/>
        </w:rPr>
        <w:t xml:space="preserve"> 70,3% от общего количества зарегистрированных прав, </w:t>
      </w:r>
      <w:r>
        <w:rPr>
          <w:rFonts w:ascii="Times New Roman" w:hAnsi="Times New Roman" w:cs="Times New Roman"/>
          <w:sz w:val="28"/>
        </w:rPr>
        <w:t xml:space="preserve">а вот доля по</w:t>
      </w:r>
      <w:r>
        <w:rPr>
          <w:rFonts w:ascii="Times New Roman" w:hAnsi="Times New Roman" w:cs="Times New Roman"/>
          <w:sz w:val="28"/>
        </w:rPr>
        <w:t xml:space="preserve"> заявлениям застройщиков, представленных за участника долевого строительства</w:t>
      </w:r>
      <w:r>
        <w:rPr>
          <w:rFonts w:ascii="Times New Roman" w:hAnsi="Times New Roman" w:cs="Times New Roman"/>
          <w:sz w:val="28"/>
        </w:rPr>
        <w:t xml:space="preserve"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уменьшилась до</w:t>
      </w:r>
      <w:r>
        <w:rPr>
          <w:rFonts w:ascii="Times New Roman" w:hAnsi="Times New Roman" w:cs="Times New Roman"/>
          <w:sz w:val="28"/>
        </w:rPr>
        <w:t xml:space="preserve"> 54,1%</w:t>
      </w:r>
      <w:r>
        <w:rPr>
          <w:rFonts w:ascii="Times New Roman" w:hAnsi="Times New Roman" w:cs="Times New Roman"/>
          <w:sz w:val="28"/>
        </w:rPr>
        <w:t xml:space="preserve">, то есть в общей массе таких заявлений стало меньше</w:t>
      </w:r>
      <w:r>
        <w:rPr>
          <w:rFonts w:ascii="Times New Roman" w:hAnsi="Times New Roman" w:cs="Times New Roman"/>
          <w:sz w:val="28"/>
        </w:rPr>
        <w:t xml:space="preserve">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этом предварительный анализ уже показал, что есть регионы</w:t>
      </w:r>
      <w:r>
        <w:rPr>
          <w:rFonts w:ascii="Times New Roman" w:hAnsi="Times New Roman" w:cs="Times New Roman"/>
          <w:sz w:val="28"/>
        </w:rPr>
        <w:t xml:space="preserve">, в которых имеются помещения с незарегистрированными правами более 6 месяцев (38 890 помещений, что составляет 10% от общего количества помещений, на которые еще права не зарегистрированы). Коллеги, я вам предлагаю уже на них обратить внимание и плотно поработать с застройщиками, при необходимости с контролирующими органами.</w:t>
      </w:r>
      <w:r>
        <w:rPr>
          <w:rFonts w:ascii="Times New Roman" w:hAnsi="Times New Roman" w:cs="Times New Roman"/>
          <w:sz w:val="28"/>
        </w:rPr>
        <w:t xml:space="preserve"> 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>
      <w:pPr>
        <w:spacing w:after="0" w:line="360" w:lineRule="auto"/>
        <w:jc w:val="center"/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По</w:t>
      </w:r>
      <w:r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  <w:t xml:space="preserve"> вопросам принятия государственными регистраторами прав решений о приостановлении учетно-регистрационных действий, возврате документов без рассмотрения, сроках осуществления учетно-регистрационных действий</w:t>
      </w:r>
    </w:p>
    <w:p>
      <w:pPr>
        <w:pStyle w:val="a6"/>
        <w:spacing w:after="0" w:line="360" w:lineRule="auto"/>
        <w:ind w:left="0" w:firstLine="709"/>
        <w:rPr>
          <w:rFonts w:ascii="Times New Roman" w:hAnsi="Times New Roman" w:eastAsia="Calibri" w:cs="Times New Roman"/>
          <w:b/>
          <w:color w:val="000000" w:themeColor="text1"/>
          <w:sz w:val="28"/>
          <w:szCs w:val="28"/>
        </w:rPr>
      </w:pPr>
    </w:p>
    <w:p>
      <w:pPr>
        <w:numPr>
          <w:numId w:val="21"/>
          <w:ilvl w:val="0"/>
        </w:numPr>
        <w:spacing w:after="0" w:line="360" w:lineRule="auto"/>
        <w:ind w:left="0" w:firstLine="414"/>
        <w:contextualSpacing/>
        <w:jc w:val="center"/>
        <w:rPr>
          <w:rFonts w:ascii="Times New Roman" w:hAnsi="Times New Roman" w:eastAsia="Calibri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Мониторинг решений о приостановлении учетно-регистрационных действий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</w:rPr>
        <w:t xml:space="preserve">январе 2026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</w:rPr>
        <w:t xml:space="preserve"> г. в среднем по Российской Федерации: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</w:rPr>
        <w:t xml:space="preserve">1.1.  доля решений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о приостановлении</w:t>
      </w:r>
      <w:r>
        <w:rPr>
          <w:rFonts w:ascii="Times New Roman" w:hAnsi="Times New Roman" w:eastAsia="Calibri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</w:rPr>
        <w:t xml:space="preserve">государственного кадастрового учета </w:t>
      </w:r>
      <w:r>
        <w:rPr>
          <w:rFonts w:ascii="Times New Roman" w:hAnsi="Times New Roman" w:eastAsia="Calibri" w:cs="Times New Roman"/>
          <w:iCs/>
          <w:color w:val="000000" w:themeColor="text1"/>
          <w:sz w:val="28"/>
          <w:szCs w:val="28"/>
        </w:rPr>
        <w:t xml:space="preserve">составила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</w:rPr>
        <w:t xml:space="preserve">2,6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b/>
          <w:bCs/>
          <w:i/>
          <w:iCs/>
          <w:color w:val="000000" w:themeColor="text1"/>
          <w:sz w:val="28"/>
          <w:szCs w:val="28"/>
        </w:rPr>
        <w:t xml:space="preserve">% (8 294</w:t>
      </w:r>
      <w:r>
        <w:rPr>
          <w:rFonts w:ascii="Times New Roman" w:hAnsi="Times New Roman" w:eastAsia="Calibri" w:cs="Times New Roman"/>
          <w:b/>
          <w:bCs/>
          <w:i/>
          <w:iCs/>
          <w:color w:val="000000" w:themeColor="text1"/>
          <w:sz w:val="28"/>
          <w:szCs w:val="28"/>
        </w:rPr>
        <w:t xml:space="preserve"> решения</w:t>
      </w:r>
      <w:r>
        <w:rPr>
          <w:rFonts w:ascii="Times New Roman" w:hAnsi="Times New Roman" w:eastAsia="Calibri" w:cs="Times New Roman"/>
          <w:b/>
          <w:bCs/>
          <w:i/>
          <w:iCs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</w:rPr>
        <w:t xml:space="preserve"> (плановый показатель на 2025 г.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</w:rPr>
        <w:t xml:space="preserve">3,9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</w:rPr>
        <w:t xml:space="preserve">%,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</w:rPr>
        <w:t xml:space="preserve"> с мая 2026 – 3,80%), 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lang w:eastAsia="ru-RU"/>
        </w:rPr>
        <w:t xml:space="preserve">количество регионов,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lang w:eastAsia="ru-RU"/>
        </w:rPr>
        <w:t xml:space="preserve">в которых доля 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 xml:space="preserve">решений п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 xml:space="preserve">ревышает плановый показатель, 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-7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 xml:space="preserve">: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у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пр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авлени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я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 Росреестра по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 Республике Крым, Севастополю,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Владимирской, Кировской, Псковской, Смоленской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, 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Тюменской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 областям;</w:t>
      </w:r>
    </w:p>
    <w:p>
      <w:pPr>
        <w:numPr>
          <w:numId w:val="2"/>
          <w:ilvl w:val="1"/>
        </w:numPr>
        <w:spacing w:after="0" w:line="360" w:lineRule="auto"/>
        <w:ind w:left="0" w:firstLine="709"/>
        <w:jc w:val="both"/>
        <w:rPr>
          <w:rFonts w:ascii="Times New Roman" w:hAnsi="Times New Roman" w:eastAsia="Calibri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lang w:eastAsia="ru-RU"/>
        </w:rPr>
        <w:t xml:space="preserve">доля решений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</w:rPr>
        <w:t xml:space="preserve">о приостановлении</w:t>
      </w:r>
      <w:r>
        <w:rPr>
          <w:rFonts w:ascii="Times New Roman" w:hAnsi="Times New Roman" w:eastAsia="Calibri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lang w:eastAsia="ru-RU"/>
        </w:rPr>
        <w:t xml:space="preserve">государственной регистрации прав </w:t>
      </w:r>
      <w:r>
        <w:rPr>
          <w:rFonts w:ascii="Times New Roman" w:hAnsi="Times New Roman" w:eastAsia="Calibri" w:cs="Times New Roman"/>
          <w:iCs/>
          <w:color w:val="000000" w:themeColor="text1"/>
          <w:sz w:val="28"/>
          <w:szCs w:val="28"/>
          <w:lang w:eastAsia="ru-RU"/>
        </w:rPr>
        <w:t xml:space="preserve">составила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1,19</w:t>
      </w:r>
      <w:r>
        <w:rPr>
          <w:rFonts w:ascii="Times New Roman" w:hAnsi="Times New Roman" w:eastAsia="Calibri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% (</w:t>
      </w:r>
      <w:r>
        <w:rPr>
          <w:rFonts w:ascii="Times New Roman" w:hAnsi="Times New Roman" w:eastAsia="Calibri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14 829 решений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) (плановый показатель на 2025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г.- 1,5%, количество </w:t>
      </w:r>
      <w:r>
        <w:rPr>
          <w:rFonts w:ascii="Times New Roman" w:hAnsi="Times New Roman" w:eastAsia="Calibri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регионов,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в которых доля решений 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превышает плановый показатель, - </w:t>
      </w:r>
      <w:bookmarkStart w:id="1" w:name="_Hlk162784937"/>
      <w:r>
        <w:rPr>
          <w:rFonts w:ascii="Times New Roman" w:hAnsi="Times New Roman" w:eastAsia="Calibri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9</w:t>
      </w:r>
      <w:r>
        <w:rPr>
          <w:rFonts w:ascii="Times New Roman" w:hAnsi="Times New Roman" w:eastAsia="Calibri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: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у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пр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авления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 Росреестра по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 республикам Карелия, Крым, Мордовия, Севастополю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,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Ставропольскому краю, Владимирской, 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Новгородской, Псковской,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Рязанской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областям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;</w:t>
      </w:r>
    </w:p>
    <w:bookmarkEnd w:id="1"/>
    <w:p>
      <w:pPr>
        <w:numPr>
          <w:numId w:val="2"/>
          <w:ilvl w:val="1"/>
        </w:numPr>
        <w:spacing w:after="0" w:line="360" w:lineRule="auto"/>
        <w:ind w:left="0" w:firstLine="709"/>
        <w:jc w:val="both"/>
        <w:rPr>
          <w:rFonts w:ascii="Times New Roman" w:hAnsi="Times New Roman" w:eastAsia="Calibri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lang w:eastAsia="ru-RU"/>
        </w:rPr>
        <w:t xml:space="preserve">доля решений</w:t>
      </w:r>
      <w:r>
        <w:rPr>
          <w:rFonts w:ascii="Times New Roman" w:hAnsi="Times New Roman" w:eastAsia="Calibri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</w:rPr>
        <w:t xml:space="preserve">о приостановлении </w:t>
      </w:r>
      <w:r>
        <w:rPr>
          <w:rFonts w:ascii="Times New Roman" w:hAnsi="Times New Roman" w:eastAsia="Calibri" w:cs="Times New Roman"/>
          <w:i/>
          <w:color w:val="000000" w:themeColor="text1"/>
          <w:sz w:val="28"/>
          <w:szCs w:val="28"/>
          <w:lang w:eastAsia="ru-RU"/>
        </w:rPr>
        <w:t xml:space="preserve">государственного кадастрового учета </w:t>
      </w:r>
      <w:r>
        <w:rPr>
          <w:rFonts w:ascii="Times New Roman" w:hAnsi="Times New Roman" w:eastAsia="Calibri" w:cs="Times New Roman"/>
          <w:i/>
          <w:color w:val="000000" w:themeColor="text1"/>
          <w:sz w:val="28"/>
          <w:szCs w:val="28"/>
          <w:lang w:eastAsia="ru-RU"/>
        </w:rPr>
        <w:br/>
        <w:t xml:space="preserve">и государственной регистрации прав в рамках 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lang w:eastAsia="ru-RU"/>
        </w:rPr>
        <w:t xml:space="preserve">единой процедуры составила </w:t>
      </w:r>
      <w:r>
        <w:rPr>
          <w:rFonts w:ascii="Times New Roman" w:hAnsi="Times New Roman" w:eastAsia="Calibri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2,84</w:t>
      </w:r>
      <w:r>
        <w:rPr>
          <w:rFonts w:ascii="Times New Roman" w:hAnsi="Times New Roman" w:eastAsia="Calibri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% (</w:t>
      </w:r>
      <w:r>
        <w:rPr>
          <w:rFonts w:ascii="Times New Roman" w:hAnsi="Times New Roman" w:eastAsia="Calibri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3 706</w:t>
      </w:r>
      <w:r>
        <w:rPr>
          <w:rFonts w:ascii="Times New Roman" w:hAnsi="Times New Roman" w:eastAsia="Calibri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решений</w:t>
      </w:r>
      <w:r>
        <w:rPr>
          <w:rFonts w:ascii="Times New Roman" w:hAnsi="Times New Roman" w:eastAsia="Calibri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(пла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новый показатель на 2025 г.- 3,2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%, </w:t>
      </w:r>
      <w:r>
        <w:rPr>
          <w:rFonts w:ascii="Times New Roman" w:hAnsi="Times New Roman" w:eastAsia="Calibri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количество регионов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  <w:lang w:eastAsia="ru-RU"/>
        </w:rPr>
        <w:br/>
        <w:t xml:space="preserve">в которых доля решений 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превышает плановый показатель, -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13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 (Регионы указаны на слайде)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;</w:t>
      </w:r>
    </w:p>
    <w:p>
      <w:pPr>
        <w:widowControl w:val="off"/>
        <w:numPr>
          <w:numId w:val="2"/>
          <w:ilvl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i/>
          <w:color w:val="000000" w:themeColor="text1"/>
          <w:sz w:val="28"/>
          <w:szCs w:val="28"/>
          <w:lang w:eastAsia="ru-RU"/>
        </w:rPr>
        <w:t xml:space="preserve">доля решений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  <w:lang w:eastAsia="ru-RU"/>
        </w:rPr>
        <w:t xml:space="preserve">о приостановлении</w:t>
      </w:r>
      <w:r>
        <w:rPr>
          <w:rFonts w:ascii="Times New Roman" w:hAnsi="Times New Roman" w:eastAsia="Calibri" w:cs="Times New Roman"/>
          <w:i/>
          <w:color w:val="000000" w:themeColor="text1"/>
          <w:sz w:val="28"/>
          <w:szCs w:val="28"/>
          <w:lang w:eastAsia="ru-RU"/>
        </w:rPr>
        <w:t xml:space="preserve"> учетно-регистрационных действий </w:t>
      </w:r>
      <w:r>
        <w:rPr>
          <w:rFonts w:ascii="Times New Roman" w:hAnsi="Times New Roman" w:eastAsia="Calibri" w:cs="Times New Roman"/>
          <w:i/>
          <w:color w:val="000000" w:themeColor="text1"/>
          <w:sz w:val="28"/>
          <w:szCs w:val="28"/>
          <w:lang w:eastAsia="ru-RU"/>
        </w:rPr>
        <w:br/>
        <w:t xml:space="preserve">в отношении объектов бытовой недвижимости в электронном виде составила </w:t>
      </w:r>
      <w:r>
        <w:rPr>
          <w:rFonts w:ascii="Times New Roman" w:hAnsi="Times New Roman" w:eastAsia="Calibri" w:cs="Times New Roman"/>
          <w:b/>
          <w:i/>
          <w:color w:val="000000" w:themeColor="text1"/>
          <w:sz w:val="28"/>
          <w:szCs w:val="28"/>
          <w:lang w:eastAsia="ru-RU"/>
        </w:rPr>
        <w:t xml:space="preserve">0,18</w:t>
      </w:r>
      <w:r>
        <w:rPr>
          <w:rFonts w:ascii="Times New Roman" w:hAnsi="Times New Roman" w:eastAsia="Calibri" w:cs="Times New Roman"/>
          <w:b/>
          <w:i/>
          <w:color w:val="000000" w:themeColor="text1"/>
          <w:sz w:val="28"/>
          <w:szCs w:val="28"/>
          <w:lang w:eastAsia="ru-RU"/>
        </w:rPr>
        <w:t xml:space="preserve">%</w:t>
      </w:r>
      <w:r>
        <w:rPr>
          <w:rFonts w:ascii="Times New Roman" w:hAnsi="Times New Roman" w:eastAsia="Calibri" w:cs="Times New Roman"/>
          <w:i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плановый показатель на 2025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г.- 0,3%, количество регионов в которых доля решений </w:t>
      </w:r>
      <w:r>
        <w:rPr>
          <w:rFonts w:ascii="Times New Roman" w:hAnsi="Times New Roman" w:eastAsia="Calibri" w:cs="Times New Roman"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превышает плановый показатель, -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2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:</w:t>
      </w:r>
      <w:r>
        <w:rPr>
          <w:rFonts w:ascii="Times New Roman" w:hAnsi="Times New Roman" w:eastAsia="Calibri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управления Росреестра по Республике Крым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,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eastAsia="Calibri" w:cs="Times New Roman"/>
          <w:b/>
          <w:i/>
          <w:iCs/>
          <w:color w:val="000000" w:themeColor="text1"/>
          <w:sz w:val="28"/>
          <w:szCs w:val="28"/>
          <w:u w:val="single"/>
          <w:lang w:eastAsia="ru-RU"/>
        </w:rPr>
        <w:t xml:space="preserve">Ставропольскому краю.</w:t>
      </w:r>
    </w:p>
    <w:p>
      <w:pPr>
        <w:widowControl w:val="off"/>
        <w:numPr>
          <w:numId w:val="2"/>
          <w:ilvl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Относительно информации о самостоятельно выявленных квалифицированы непосредственно руководством органов регистрации прав как необоснованные решениях о приостановлении: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декабре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2025 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- 3,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принятое решение в Севреестре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2- принятых решения в Госкомрегистре;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январе 2026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1 принятое решение в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Управлении Росреестра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br/>
        <w:t xml:space="preserve">по Забайкальскому краю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Управлением методического обеспечения и анализа в сфере регистрации прав и кадастрового учета в 2025 год</w:t>
      </w:r>
      <w:r>
        <w:rPr>
          <w:rFonts w:ascii="Times New Roman" w:hAnsi="Times New Roman" w:eastAsia="Calibri" w:cs="Times New Roman"/>
          <w:sz w:val="28"/>
          <w:szCs w:val="28"/>
        </w:rPr>
        <w:t xml:space="preserve">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проведен выборочный мониторинг решений о приостановлении учетно-регистрационных действий, принятых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28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территориальными органами Росреестра,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которых в 2024 году были выявлены необоснованные решения о приостановлении.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ходе мониторинга проанализировано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1157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решени</w:t>
      </w:r>
      <w:r>
        <w:rPr>
          <w:rFonts w:ascii="Times New Roman" w:hAnsi="Times New Roman" w:eastAsia="Calibri" w:cs="Times New Roman"/>
          <w:sz w:val="28"/>
          <w:szCs w:val="28"/>
        </w:rPr>
        <w:t xml:space="preserve">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о приостановлении учетно-регистрационных действий, из них выявлено 9 необоснованных решений о приостановлении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(управления Росреестра по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Дагестан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Карачаево-Черкесск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Республик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е, Московской, Ленинградской областям, Москве)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что составляет </w:t>
      </w:r>
      <w:r>
        <w:rPr>
          <w:rFonts w:ascii="Times New Roman" w:hAnsi="Times New Roman" w:eastAsia="Calibri" w:cs="Times New Roman"/>
          <w:sz w:val="28"/>
          <w:szCs w:val="28"/>
        </w:rPr>
        <w:t xml:space="preserve">0,8</w:t>
      </w:r>
      <w:r>
        <w:rPr>
          <w:rFonts w:ascii="Times New Roman" w:hAnsi="Times New Roman" w:eastAsia="Calibri" w:cs="Times New Roman"/>
          <w:sz w:val="28"/>
          <w:szCs w:val="28"/>
        </w:rPr>
        <w:t xml:space="preserve">% от всех проверенных решений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2024 год</w:t>
      </w:r>
      <w:r>
        <w:rPr>
          <w:rFonts w:ascii="Times New Roman" w:hAnsi="Times New Roman" w:eastAsia="Calibri" w:cs="Times New Roman"/>
          <w:sz w:val="28"/>
          <w:szCs w:val="28"/>
        </w:rPr>
        <w:t xml:space="preserve">у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доля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необоснованных решений о приостановлении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составляла 2,6%, т.е. показатели улучшились.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</w:pP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</w:pPr>
    </w:p>
    <w:p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2. О мониторинге приостановлений ГКУ МКД, первого ДДУ</w:t>
      </w:r>
    </w:p>
    <w:p>
      <w:pPr>
        <w:pStyle w:val="Style8"/>
        <w:tabs>
          <w:tab w:val="left" w:pos="1418"/>
        </w:tabs>
        <w:spacing w:line="360" w:lineRule="auto"/>
        <w:ind w:firstLine="709"/>
        <w:rPr>
          <w:rStyle w:val="FontStyle18"/>
          <w:color w:val="000000" w:themeColor="text1"/>
          <w:sz w:val="28"/>
          <w:szCs w:val="28"/>
        </w:rPr>
      </w:pPr>
      <w:r>
        <w:rPr>
          <w:rStyle w:val="FontStyle18"/>
          <w:color w:val="000000" w:themeColor="text1"/>
          <w:sz w:val="28"/>
          <w:szCs w:val="28"/>
        </w:rPr>
        <w:t xml:space="preserve">Показатели приведены в таблицах.</w:t>
      </w:r>
    </w:p>
    <w:tbl>
      <w:tblPr>
        <w:tblW w:w="85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2693"/>
        <w:gridCol w:w="1843"/>
        <w:gridCol w:w="11"/>
      </w:tblGrid>
      <w:tr>
        <w:trPr>
          <w:jc w:val="center"/>
          <w:trHeight w:val="300"/>
        </w:trPr>
        <w:tc>
          <w:tcPr>
            <w:tcW w:w="8516" w:type="dxa"/>
            <w:gridSpan w:val="5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  <w:hideMark/>
          </w:tcPr>
          <w:p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ДДУ по всем регионам </w:t>
            </w:r>
          </w:p>
        </w:tc>
      </w:tr>
      <w:tr>
        <w:trPr>
          <w:gridAfter w:val="1"/>
          <w:jc w:val="center"/>
          <w:trHeight w:val="1675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hideMark/>
          </w:tcPr>
          <w:p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color="auto" w:sz="8" w:space="0"/>
              <w:left w:val="none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Количество поступивших заявлений о государственной регистрации ДДУ</w:t>
            </w:r>
          </w:p>
        </w:tc>
        <w:tc>
          <w:tcPr>
            <w:tcW w:w="2693" w:type="dxa"/>
            <w:tcBorders>
              <w:top w:val="single" w:color="auto" w:sz="8" w:space="0"/>
              <w:left w:val="none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Количество решений о приостановлении государственной регистрации ДДУ</w:t>
            </w:r>
          </w:p>
        </w:tc>
        <w:tc>
          <w:tcPr>
            <w:tcW w:w="1843" w:type="dxa"/>
            <w:tcBorders>
              <w:top w:val="single" w:color="auto" w:sz="8" w:space="0"/>
              <w:left w:val="none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</w:t>
            </w:r>
          </w:p>
        </w:tc>
      </w:tr>
      <w:tr>
        <w:trPr>
          <w:gridAfter w:val="1"/>
          <w:jc w:val="center"/>
          <w:trHeight w:val="717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квартал 2025 г.</w:t>
            </w:r>
          </w:p>
        </w:tc>
        <w:tc>
          <w:tcPr>
            <w:tcW w:w="2409" w:type="dxa"/>
            <w:tcBorders>
              <w:top w:val="single" w:color="auto" w:sz="8" w:space="0"/>
              <w:left w:val="none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590</w:t>
            </w:r>
          </w:p>
        </w:tc>
        <w:tc>
          <w:tcPr>
            <w:tcW w:w="2693" w:type="dxa"/>
            <w:tcBorders>
              <w:top w:val="single" w:color="auto" w:sz="8" w:space="0"/>
              <w:left w:val="none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1843" w:type="dxa"/>
            <w:tcBorders>
              <w:top w:val="single" w:color="auto" w:sz="8" w:space="0"/>
              <w:left w:val="none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</w:t>
            </w:r>
          </w:p>
        </w:tc>
      </w:tr>
      <w:tr>
        <w:trPr>
          <w:gridAfter w:val="1"/>
          <w:jc w:val="center"/>
          <w:trHeight w:val="717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квартал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2025 г.</w:t>
            </w:r>
          </w:p>
        </w:tc>
        <w:tc>
          <w:tcPr>
            <w:tcW w:w="2409" w:type="dxa"/>
            <w:tcBorders>
              <w:top w:val="single" w:color="auto" w:sz="8" w:space="0"/>
              <w:left w:val="none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728</w:t>
            </w:r>
          </w:p>
        </w:tc>
        <w:tc>
          <w:tcPr>
            <w:tcW w:w="2693" w:type="dxa"/>
            <w:tcBorders>
              <w:top w:val="single" w:color="auto" w:sz="8" w:space="0"/>
              <w:left w:val="none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1843" w:type="dxa"/>
            <w:tcBorders>
              <w:top w:val="single" w:color="auto" w:sz="8" w:space="0"/>
              <w:left w:val="none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0,3%</w:t>
            </w:r>
          </w:p>
        </w:tc>
      </w:tr>
      <w:tr>
        <w:trPr>
          <w:gridAfter w:val="1"/>
          <w:jc w:val="center"/>
          <w:trHeight w:val="717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квартал 2025 г.</w:t>
            </w:r>
          </w:p>
        </w:tc>
        <w:tc>
          <w:tcPr>
            <w:tcW w:w="2409" w:type="dxa"/>
            <w:tcBorders>
              <w:top w:val="single" w:color="auto" w:sz="8" w:space="0"/>
              <w:left w:val="none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779</w:t>
            </w:r>
          </w:p>
        </w:tc>
        <w:tc>
          <w:tcPr>
            <w:tcW w:w="2693" w:type="dxa"/>
            <w:tcBorders>
              <w:top w:val="single" w:color="auto" w:sz="8" w:space="0"/>
              <w:left w:val="none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843" w:type="dxa"/>
            <w:tcBorders>
              <w:top w:val="single" w:color="auto" w:sz="8" w:space="0"/>
              <w:left w:val="none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</w:t>
            </w:r>
          </w:p>
        </w:tc>
      </w:tr>
      <w:tr>
        <w:trPr>
          <w:gridAfter w:val="1"/>
          <w:jc w:val="center"/>
          <w:trHeight w:val="717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4 квартал 2025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1 112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</w:t>
            </w:r>
          </w:p>
        </w:tc>
      </w:tr>
      <w:tr>
        <w:trPr>
          <w:gridAfter w:val="1"/>
          <w:jc w:val="center"/>
          <w:trHeight w:val="717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Итого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3 209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0,5%</w:t>
            </w:r>
          </w:p>
        </w:tc>
      </w:tr>
    </w:tbl>
    <w:p>
      <w:pPr>
        <w:pStyle w:val="Style8"/>
        <w:tabs>
          <w:tab w:val="left" w:pos="1418"/>
        </w:tabs>
        <w:spacing w:line="360" w:lineRule="auto"/>
        <w:ind w:firstLine="709"/>
        <w:rPr>
          <w:rStyle w:val="FontStyle18"/>
          <w:color w:val="000000" w:themeColor="text1"/>
          <w:sz w:val="28"/>
          <w:szCs w:val="28"/>
          <w:highlight w:val="red"/>
        </w:rPr>
      </w:pPr>
    </w:p>
    <w:p>
      <w:pPr>
        <w:spacing w:after="0" w:line="360" w:lineRule="auto"/>
        <w:ind w:right="-2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Доля решений о приостановлении государственной регистрации ДДУ за 2025 г. составила 0,5%, что </w:t>
      </w:r>
      <w:r>
        <w:rPr>
          <w:rFonts w:ascii="Times New Roman" w:hAnsi="Times New Roman"/>
          <w:sz w:val="28"/>
          <w:szCs w:val="28"/>
        </w:rPr>
        <w:t xml:space="preserve">меньше</w:t>
      </w:r>
      <w:r>
        <w:rPr>
          <w:rFonts w:ascii="Times New Roman" w:hAnsi="Times New Roman"/>
          <w:sz w:val="28"/>
          <w:szCs w:val="28"/>
        </w:rPr>
        <w:t xml:space="preserve"> на 0,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%, чем за 2024 г. (0,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%).</w:t>
      </w:r>
    </w:p>
    <w:tbl>
      <w:tblPr>
        <w:tblW w:w="85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835"/>
        <w:gridCol w:w="2269"/>
        <w:gridCol w:w="1843"/>
      </w:tblGrid>
      <w:tr>
        <w:trPr>
          <w:jc w:val="center"/>
          <w:trHeight w:val="300"/>
        </w:trPr>
        <w:tc>
          <w:tcPr>
            <w:tcW w:w="8506" w:type="dxa"/>
            <w:gridSpan w:val="4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hideMark/>
          </w:tcPr>
          <w:p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МКД по всем регионам </w:t>
            </w:r>
          </w:p>
        </w:tc>
      </w:tr>
      <w:tr>
        <w:trPr>
          <w:jc w:val="center"/>
          <w:trHeight w:val="1200"/>
        </w:trPr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hideMark/>
          </w:tcPr>
          <w:p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none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Количество поступивших заявлений о ГКУ МКД</w:t>
            </w:r>
          </w:p>
        </w:tc>
        <w:tc>
          <w:tcPr>
            <w:tcW w:w="2269" w:type="dxa"/>
            <w:tcBorders>
              <w:top w:val="single" w:color="auto" w:sz="8" w:space="0"/>
              <w:left w:val="none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 xml:space="preserve">Количество решений о приостановлении ГКУ МКД</w:t>
            </w:r>
          </w:p>
        </w:tc>
        <w:tc>
          <w:tcPr>
            <w:tcW w:w="1843" w:type="dxa"/>
            <w:tcBorders>
              <w:top w:val="single" w:color="auto" w:sz="8" w:space="0"/>
              <w:left w:val="none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</w:t>
            </w:r>
          </w:p>
        </w:tc>
      </w:tr>
      <w:tr>
        <w:trPr>
          <w:jc w:val="center"/>
          <w:trHeight w:val="300"/>
        </w:trPr>
        <w:tc>
          <w:tcPr>
            <w:tcW w:w="1559" w:type="dxa"/>
            <w:tcBorders>
              <w:top w:val="none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квартал 2025 г.</w:t>
            </w:r>
          </w:p>
        </w:tc>
        <w:tc>
          <w:tcPr>
            <w:tcW w:w="2835" w:type="dxa"/>
            <w:tcBorders>
              <w:top w:val="none"/>
              <w:left w:val="none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1 176</w:t>
            </w:r>
          </w:p>
        </w:tc>
        <w:tc>
          <w:tcPr>
            <w:tcW w:w="2269" w:type="dxa"/>
            <w:tcBorders>
              <w:top w:val="none"/>
              <w:left w:val="none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843" w:type="dxa"/>
            <w:tcBorders>
              <w:top w:val="none"/>
              <w:left w:val="none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</w:t>
            </w:r>
          </w:p>
        </w:tc>
      </w:tr>
      <w:tr>
        <w:trPr>
          <w:jc w:val="center"/>
          <w:trHeight w:val="717"/>
        </w:trPr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квартал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2025 г.</w:t>
            </w:r>
          </w:p>
        </w:tc>
        <w:tc>
          <w:tcPr>
            <w:tcW w:w="2835" w:type="dxa"/>
            <w:tcBorders>
              <w:top w:val="single" w:color="auto" w:sz="8" w:space="0"/>
              <w:left w:val="none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934</w:t>
            </w:r>
          </w:p>
        </w:tc>
        <w:tc>
          <w:tcPr>
            <w:tcW w:w="2269" w:type="dxa"/>
            <w:tcBorders>
              <w:top w:val="single" w:color="auto" w:sz="8" w:space="0"/>
              <w:left w:val="none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843" w:type="dxa"/>
            <w:tcBorders>
              <w:top w:val="single" w:color="auto" w:sz="8" w:space="0"/>
              <w:left w:val="none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0,5%</w:t>
            </w:r>
          </w:p>
        </w:tc>
      </w:tr>
      <w:tr>
        <w:trPr>
          <w:jc w:val="center"/>
          <w:trHeight w:val="717"/>
        </w:trPr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квартал 2025 г.</w:t>
            </w:r>
          </w:p>
        </w:tc>
        <w:tc>
          <w:tcPr>
            <w:tcW w:w="2835" w:type="dxa"/>
            <w:tcBorders>
              <w:top w:val="single" w:color="auto" w:sz="8" w:space="0"/>
              <w:left w:val="none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1 287</w:t>
            </w:r>
          </w:p>
        </w:tc>
        <w:tc>
          <w:tcPr>
            <w:tcW w:w="2269" w:type="dxa"/>
            <w:tcBorders>
              <w:top w:val="single" w:color="auto" w:sz="8" w:space="0"/>
              <w:left w:val="none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1843" w:type="dxa"/>
            <w:tcBorders>
              <w:top w:val="single" w:color="auto" w:sz="8" w:space="0"/>
              <w:left w:val="none"/>
              <w:bottom w:val="single" w:color="auto" w:sz="4" w:space="0"/>
              <w:right w:val="single" w:color="auto" w:sz="8" w:space="0"/>
            </w:tcBorders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</w:t>
            </w:r>
          </w:p>
        </w:tc>
      </w:tr>
      <w:tr>
        <w:trPr>
          <w:jc w:val="center"/>
          <w:trHeight w:val="717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4 квартал 2025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2 058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</w:t>
            </w:r>
          </w:p>
        </w:tc>
      </w:tr>
      <w:tr>
        <w:trPr>
          <w:jc w:val="center"/>
          <w:trHeight w:val="717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Итого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5 455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0,2%</w:t>
            </w:r>
          </w:p>
        </w:tc>
      </w:tr>
    </w:tbl>
    <w:p>
      <w:pPr>
        <w:pStyle w:val="a6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>
      <w:pPr>
        <w:pStyle w:val="Style1"/>
        <w:widowControl/>
        <w:spacing w:line="360" w:lineRule="auto"/>
        <w:ind w:right="-2" w:firstLine="567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Доля решений о приостановлении ГКУ МКД </w:t>
      </w:r>
      <w:r>
        <w:rPr>
          <w:rStyle w:val="FontStyle15"/>
          <w:sz w:val="28"/>
          <w:szCs w:val="28"/>
        </w:rPr>
        <w:t xml:space="preserve">за </w:t>
      </w:r>
      <w:r>
        <w:rPr>
          <w:sz w:val="28"/>
          <w:szCs w:val="28"/>
        </w:rPr>
        <w:t xml:space="preserve">2025 г.</w:t>
      </w:r>
      <w:r>
        <w:rPr>
          <w:rStyle w:val="FontStyle15"/>
          <w:sz w:val="28"/>
          <w:szCs w:val="28"/>
        </w:rPr>
        <w:t xml:space="preserve"> составила 0,</w:t>
      </w:r>
      <w:r>
        <w:rPr>
          <w:rStyle w:val="FontStyle15"/>
          <w:sz w:val="28"/>
          <w:szCs w:val="28"/>
        </w:rPr>
        <w:t xml:space="preserve">2</w:t>
      </w:r>
      <w:r>
        <w:rPr>
          <w:rStyle w:val="FontStyle15"/>
          <w:sz w:val="28"/>
          <w:szCs w:val="28"/>
        </w:rPr>
        <w:t xml:space="preserve">%, что меньше на 0,</w:t>
      </w:r>
      <w:r>
        <w:rPr>
          <w:rStyle w:val="FontStyle15"/>
          <w:sz w:val="28"/>
          <w:szCs w:val="28"/>
        </w:rPr>
        <w:t xml:space="preserve">2</w:t>
      </w:r>
      <w:r>
        <w:rPr>
          <w:rStyle w:val="FontStyle15"/>
          <w:sz w:val="28"/>
          <w:szCs w:val="28"/>
        </w:rPr>
        <w:t xml:space="preserve">%, чем </w:t>
      </w:r>
      <w:r>
        <w:rPr>
          <w:rStyle w:val="FontStyle15"/>
          <w:sz w:val="28"/>
          <w:szCs w:val="28"/>
        </w:rPr>
        <w:t xml:space="preserve">за </w:t>
      </w:r>
      <w:r>
        <w:rPr>
          <w:rStyle w:val="FontStyle15"/>
          <w:sz w:val="28"/>
          <w:szCs w:val="28"/>
        </w:rPr>
        <w:t xml:space="preserve">2024 г.  (0,</w:t>
      </w:r>
      <w:r>
        <w:rPr>
          <w:rStyle w:val="FontStyle15"/>
          <w:sz w:val="28"/>
          <w:szCs w:val="28"/>
        </w:rPr>
        <w:t xml:space="preserve">4</w:t>
      </w:r>
      <w:r>
        <w:rPr>
          <w:rStyle w:val="FontStyle15"/>
          <w:sz w:val="28"/>
          <w:szCs w:val="28"/>
        </w:rPr>
        <w:t xml:space="preserve">%).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</w:p>
    <w:p>
      <w:pPr>
        <w:pStyle w:val="a6"/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Мониторинг по нотариальным пакетам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январе 2026  г. было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рассмотрено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125 827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заявлений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срок менее 24 часов,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средний срок по Российской Федерации принятия решений по нотариальным пакетам, рассмотренным в срок менее 24 часов, составил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декабре 2025 г. 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 часа 34 минуты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январе 2026 г. -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часа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Доля заявлений, рассмотренны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срок менее 24 часов,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январе 2026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составила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63,9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%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что по сравнению с декабрем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меньше на 2,8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% (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декабрь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66,7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%)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этом в отношении принимаемых по нотариальным пакетам документов решений о приостановлении хотелось бы отметить, что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несмотря на то, что в среднем доля по стране составляет 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%,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наиболее высокие показатели по доле решений о приостановлении 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нотариальным пакетам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январе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2026 года 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управлениях Росреестра по Чувашской Республике, по Псковской, Самарской областям (по 3% в каждом), по республикам Карелия, Крым, Забайкальскому, Камчатскому, Краснодарскому, Ставропольскому краям, Кемеровской, Курганской, Курской,  Липецкой, Новгородской, Оренбургской, Саратовской областям, Москве (по 2% в каждом)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Прошу указанные выше регионы внимательно посмотреть на причины приостановления, при необходимости, провести встречи с нотариальными палатами субъектов Российской Федерации.</w:t>
      </w:r>
    </w:p>
    <w:p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</w:p>
    <w:p>
      <w:pPr>
        <w:pStyle w:val="a6"/>
        <w:spacing w:after="0" w:line="360" w:lineRule="auto"/>
        <w:ind w:left="0" w:firstLine="708"/>
        <w:jc w:val="center"/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Мониторинг данных по принимаемым решениям о возврате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документов без рассмотрения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.</w:t>
      </w:r>
    </w:p>
    <w:p>
      <w:pPr>
        <w:widowControl w:val="off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В период с 01.01.2026 по 31.01.2026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 в среднем по Российской Федерации доля решений о возврате документов, представленных для учетно-регистрационных действий, составила</w:t>
      </w:r>
      <w:r>
        <w:rPr>
          <w:rFonts w:ascii="Times New Roman" w:hAnsi="Times New Roman" w:cs="Times New Roman" w:eastAsiaTheme="minorEastAsia"/>
          <w:b/>
          <w:color w:val="000000" w:themeColor="text1"/>
          <w:sz w:val="28"/>
          <w:szCs w:val="28"/>
          <w:lang w:eastAsia="ru-RU"/>
        </w:rPr>
        <w:t xml:space="preserve"> 2,1</w:t>
      </w:r>
      <w:r>
        <w:rPr>
          <w:rFonts w:ascii="Times New Roman" w:hAnsi="Times New Roman" w:cs="Times New Roman" w:eastAsiaTheme="minorEastAsia"/>
          <w:b/>
          <w:color w:val="000000" w:themeColor="text1"/>
          <w:sz w:val="28"/>
          <w:szCs w:val="28"/>
          <w:lang w:eastAsia="ru-RU"/>
        </w:rPr>
        <w:t xml:space="preserve">% 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36 633 решения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), в том числе:</w:t>
      </w:r>
    </w:p>
    <w:p>
      <w:pPr>
        <w:widowControl w:val="off"/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2.1. 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доля решений о возврате документов, представленных для государственного кадастрового учета, в среднем по Российской Федерации, </w:t>
      </w:r>
      <w:r>
        <w:rPr>
          <w:rFonts w:ascii="Times New Roman" w:hAnsi="Times New Roman" w:cs="Times New Roman" w:eastAsiaTheme="minorEastAsia"/>
          <w:bCs/>
          <w:i/>
          <w:color w:val="000000" w:themeColor="text1"/>
          <w:sz w:val="28"/>
          <w:szCs w:val="28"/>
          <w:lang w:eastAsia="ru-RU"/>
        </w:rPr>
        <w:t xml:space="preserve">составила 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1,1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% 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5 973 решения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.</w:t>
      </w:r>
    </w:p>
    <w:p>
      <w:pPr>
        <w:widowControl w:val="off"/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Наиболее высокие значения по 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данному показателю (выше 5%) в </w:t>
      </w:r>
      <w:r>
        <w:rPr>
          <w:rFonts w:ascii="Times New Roman" w:hAnsi="Times New Roman" w:cs="Times New Roman" w:eastAsiaTheme="minorEastAsia"/>
          <w:b/>
          <w:color w:val="000000" w:themeColor="text1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 w:eastAsiaTheme="minorEastAsia"/>
          <w:b/>
          <w:color w:val="000000" w:themeColor="text1"/>
          <w:sz w:val="28"/>
          <w:szCs w:val="28"/>
          <w:lang w:eastAsia="ru-RU"/>
        </w:rPr>
        <w:t xml:space="preserve"> регионах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Санкт-Петербурге – 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7,9%,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Севастополе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6,9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%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Курганской области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6,7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%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Ямало-Ненецком АО 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6,5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%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 Краснодарском крае – 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6,0%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;</w:t>
      </w:r>
    </w:p>
    <w:p>
      <w:pPr>
        <w:widowControl w:val="off"/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2.2. 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доля решений о возврате документов, представленных для государственной регистрации прав, в среднем по Российской Федерации, составила 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2,4% (25 965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 решений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. </w:t>
      </w:r>
    </w:p>
    <w:p>
      <w:pPr>
        <w:widowControl w:val="off"/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Наиболее высокие значения по данному показателю (выше 5%) в </w:t>
      </w:r>
      <w:r>
        <w:rPr>
          <w:rFonts w:ascii="Times New Roman" w:hAnsi="Times New Roman" w:cs="Times New Roman" w:eastAsiaTheme="minorEastAsia"/>
          <w:b/>
          <w:color w:val="000000" w:themeColor="text1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Theme="minorEastAsia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color w:val="000000" w:themeColor="text1"/>
          <w:sz w:val="28"/>
          <w:szCs w:val="28"/>
          <w:lang w:eastAsia="ru-RU"/>
        </w:rPr>
        <w:t xml:space="preserve">регионах</w:t>
      </w:r>
      <w:r>
        <w:rPr>
          <w:rFonts w:ascii="Times New Roman" w:hAnsi="Times New Roman" w:cs="Times New Roman" w:eastAsiaTheme="minorEastAsia"/>
          <w:b/>
          <w:color w:val="000000" w:themeColor="text1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 w:eastAsiaTheme="minorEastAsia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в Крыму</w:t>
      </w: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 w:eastAsiaTheme="minorEastAsia"/>
          <w:b/>
          <w:color w:val="000000" w:themeColor="text1"/>
          <w:sz w:val="28"/>
          <w:szCs w:val="28"/>
          <w:lang w:eastAsia="ru-RU"/>
        </w:rPr>
        <w:t xml:space="preserve">8,3%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Севастополе – 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6,4%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;</w:t>
      </w:r>
    </w:p>
    <w:p>
      <w:pPr>
        <w:widowControl w:val="off"/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:lang w:eastAsia="ru-RU"/>
        </w:rPr>
        <w:t xml:space="preserve">2.3. 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доля решений о возврате документов, представленных для государственного кадастрового учета и государственной регистрации прав 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br/>
        <w:t xml:space="preserve">в рамках единой процедуры, в среднем по Российской Федерации, составила 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4,5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% 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br/>
        <w:t xml:space="preserve">(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4 704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решения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)</w:t>
      </w:r>
    </w:p>
    <w:p>
      <w:pPr>
        <w:widowControl w:val="off"/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Наиболее высокие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значения по данному показателю (выше 5%)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регионах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>
      <w:pPr>
        <w:widowControl w:val="off"/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Республике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Ингушетия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14,5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Севастополе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13,8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%,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Москве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10,5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Мурманской области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9,1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%,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Камчатскому краю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7,8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Курганской области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7,5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Республике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 Мордовия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7,4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%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Краснодарскому краю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7,3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Еврейской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АО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7,0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%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Московской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области –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6,8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%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Нижегородской области–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6,8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%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Ямало-Ненецкому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АО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6,2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%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Республике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Алтай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6,2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%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Алтайскому краю–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6,1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%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Забайкальскому краю–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5,9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%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Тюменской области –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5,8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%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Вологодской области –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5,6%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Ленинградской области –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5,6%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.,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Волгоградской  области –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5,5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%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, Республике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 Дагестан</w:t>
      </w:r>
      <w:r>
        <w:rPr>
          <w:rFonts w:ascii="Times New Roman" w:hAnsi="Times New Roman" w:cs="Times New Roman" w:eastAsiaTheme="minorEastAsia"/>
          <w:i/>
          <w:color w:val="000000" w:themeColor="text1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5,5%</w:t>
      </w:r>
      <w:r>
        <w:rPr>
          <w:rFonts w:ascii="Times New Roman" w:hAnsi="Times New Roman" w:cs="Times New Roman" w:eastAsiaTheme="minorEastAsia"/>
          <w:b/>
          <w:i/>
          <w:color w:val="000000" w:themeColor="text1"/>
          <w:sz w:val="28"/>
          <w:szCs w:val="28"/>
          <w:lang w:eastAsia="ru-RU"/>
        </w:rPr>
        <w:t xml:space="preserve">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Информация о принятых решениях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возврате документов без рассмотрения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которые были квалифицированы непосредственно руководством органов регистрации прав как необоснованные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декабре 2025 г. и январе 2026 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не представлена ни одним их территориальных органов (показатель составил «0»).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Управлением методического обеспечения и анализа в сфере регистрации прав и кадастрового учета в 2025 году проведен выборочный мониторинг решений о возврате, принятых 28 территориальными органами Росреестра, у которых в 2024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году были выявлены необоснованные решения о возврате.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ходе мониторинга проанализировано 1159 решений о возврате, из них выявлено необоснованных 62 (Управления Росреестра по Республикам Алтай, Бурятия, Дагестан, Карелия, Саха (Якутия), Карачаево-Черкесской Республике, Краснодарскому, Красноярскому краям, Владимирской, Калужской, Московской, Ленинградской областям, Москве), что составляет 5,3% от всех проверенных решений о возврате. В 2024 году доля необоснованных решений о возврате составляла 14,1%,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т.е. показатели улучшились.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За 2025 г. только управления Росреестра по Республике Коми, Калужской, Московской, Пензенской, Псковской, Сахалинской, Тульской областям в соответствии с поручением Росреестра от 21.04.2022 № 14-3134-ТГ/22 доложили о том, что ими самостоятельно выявлены необоснованные решения о возврате, остальные территориальные органы доложили о том, что самостоятельно ими не выявлено необоснованных решений о возврате.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При этом выборочные мониторинги, тематические проверки, обращения граждан и юридических лиц подтверждают, что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несмотря на поручения Росреестра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территориальными органами принимаются решения о возврате по основаниям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не соответствующим положениям статьи 25 Закона № 218-ФЗ. 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Коллеги, обращаю внимание на то, что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поручение Росреестра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br/>
        <w:t xml:space="preserve">от 21.04.2022 № 14-3134-ТГ/22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прежде всего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было направлено на самоконтроль по исключению случаев принятия необоснованных решений о возврате, однако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учитывая ваши доклады на поручение, прошу усилить контроль за исполнением поручения так, чтобы это не носило формального характера.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2026 году выборочный мониторинг решений о приостановлении и решений о возврате, принимаемых территориальными органами, в том числе воссоединен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ных территорий, будет продолжен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Коллеги, хочу обратить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ваше внимание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на то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, что ранее до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всех территориальных органов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письмо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м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от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06.11.2025 № 14-11509-ЛЛ/25 была доведена справка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об основных нарушениях, выявленных в ходе проведения поверок деятельности территориальных органов Росреестра в сфере осуществления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ГКУ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и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государственной р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егистрации прав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, ведения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ЕГРН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, а также выборочного мониторинга принятых территориальными органами Росреестра решений о приостановлении осуществления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ГКУ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и (или) государственной регистрации прав, решений о возврате, за 2024-2025 гг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. (далее – Справка)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При этом указанные в Справке нарушения ранее доводились до территориальных органов, однако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исходя из выборочного мониторинга, тематических проверок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усматривается, что указанные в Справке нарушения допускаются (повторяются) при осуществлении учетно-регистрационных действий из года в год.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Прошу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руководителей территориальных органов довести д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о государственных регистраторов прав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Справку и принять меры по исключению из практики нарушений, подобных указанным в Справке. 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pPr>
    </w:p>
    <w:p>
      <w:pPr>
        <w:pStyle w:val="a6"/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bidi="ru-RU"/>
        </w:rPr>
        <w:t xml:space="preserve">5</w:t>
      </w: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bidi="ru-RU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bidi="ru-RU"/>
        </w:rPr>
        <w:t xml:space="preserve">О сроках осуществления учетно-регистрационных действий</w:t>
      </w: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bidi="ru-RU"/>
        </w:rPr>
        <w:t xml:space="preserve">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Средние сроки осуществления учетно-регистрационных действий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br/>
        <w:t xml:space="preserve">по Российской Федерации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составили: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по государственному кадастровому учету </w:t>
      </w:r>
      <w:r>
        <w:rPr>
          <w:rFonts w:ascii="Times New Roman" w:hAnsi="Times New Roman" w:eastAsia="SimSun" w:cs="Times New Roman"/>
          <w:i/>
          <w:color w:val="000000" w:themeColor="text1"/>
          <w:sz w:val="28"/>
          <w:szCs w:val="28"/>
        </w:rPr>
        <w:t xml:space="preserve">(плановый показатель на 2025</w:t>
      </w:r>
      <w:r>
        <w:rPr>
          <w:rFonts w:ascii="Times New Roman" w:hAnsi="Times New Roman" w:eastAsia="SimSun" w:cs="Times New Roman"/>
          <w:i/>
          <w:color w:val="000000" w:themeColor="text1"/>
          <w:sz w:val="28"/>
          <w:szCs w:val="28"/>
        </w:rPr>
        <w:t xml:space="preserve"> г.- 2 рабочих дня)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январе 2026 г.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– 1,6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рабочих дня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;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по государственной регистрации </w:t>
      </w:r>
      <w:r>
        <w:rPr>
          <w:rFonts w:ascii="Times New Roman" w:hAnsi="Times New Roman" w:eastAsia="SimSun" w:cs="Times New Roman"/>
          <w:i/>
          <w:color w:val="000000" w:themeColor="text1"/>
          <w:sz w:val="28"/>
          <w:szCs w:val="28"/>
        </w:rPr>
        <w:t xml:space="preserve">(плановый показатель на 2025</w:t>
      </w:r>
      <w:r>
        <w:rPr>
          <w:rFonts w:ascii="Times New Roman" w:hAnsi="Times New Roman" w:eastAsia="SimSun" w:cs="Times New Roman"/>
          <w:i/>
          <w:color w:val="000000" w:themeColor="text1"/>
          <w:sz w:val="28"/>
          <w:szCs w:val="28"/>
        </w:rPr>
        <w:t xml:space="preserve"> г.- 2 рабочих дня)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в январе - 1,6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рабочих дня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;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по государственному кадастровому учету и государственной регистрации прав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br/>
        <w:t xml:space="preserve">(в рамках единой процедуры)</w:t>
      </w:r>
      <w:r>
        <w:rPr>
          <w:rFonts w:ascii="Times New Roman" w:hAnsi="Times New Roman" w:eastAsia="SimSun" w:cs="Times New Roman"/>
          <w:i/>
          <w:color w:val="000000" w:themeColor="text1"/>
          <w:sz w:val="28"/>
          <w:szCs w:val="28"/>
        </w:rPr>
        <w:t xml:space="preserve">(плановый показатель на 2025 г.- 4</w:t>
      </w:r>
      <w:r>
        <w:rPr>
          <w:rFonts w:ascii="Times New Roman" w:hAnsi="Times New Roman" w:eastAsia="SimSun" w:cs="Times New Roman"/>
          <w:i/>
          <w:color w:val="000000" w:themeColor="text1"/>
          <w:sz w:val="28"/>
          <w:szCs w:val="28"/>
        </w:rPr>
        <w:t xml:space="preserve"> рабочих дней)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в январе – 2,7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рабочих дня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Таким образом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в среднем по Российской Федерации показатели по срокам осуществления учетно-регистрационных действий достигнуты.</w:t>
      </w:r>
    </w:p>
    <w:p>
      <w:pPr>
        <w:widowControl w:val="off"/>
        <w:spacing w:after="0" w:line="360" w:lineRule="auto"/>
        <w:ind w:firstLine="709"/>
        <w:jc w:val="both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У </w:t>
      </w:r>
      <w:r>
        <w:rPr>
          <w:rFonts w:ascii="Times New Roman" w:hAnsi="Times New Roman" w:eastAsia="SimSun" w:cs="Times New Roman"/>
          <w:b/>
          <w:bCs/>
          <w:color w:val="000000" w:themeColor="text1"/>
          <w:sz w:val="28"/>
          <w:szCs w:val="28"/>
        </w:rPr>
        <w:t xml:space="preserve">76</w:t>
      </w:r>
      <w:r>
        <w:rPr>
          <w:rFonts w:ascii="Times New Roman" w:hAnsi="Times New Roman" w:eastAsia="SimSu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территориальны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х орг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анов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Росреестра (из 87) в январе 2026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г.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сроки предоставления государственных услуг по государственному кадастровому учету, государственной регистрации прав, государственному кадастровому учету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br/>
        <w:t xml:space="preserve">и государственной регистрации прав (в рамках единой процедуры) </w:t>
      </w:r>
      <w:r>
        <w:rPr>
          <w:rFonts w:ascii="Times New Roman" w:hAnsi="Times New Roman" w:eastAsia="SimSun" w:cs="Times New Roman"/>
          <w:b/>
          <w:i/>
          <w:color w:val="000000" w:themeColor="text1"/>
          <w:sz w:val="28"/>
          <w:szCs w:val="28"/>
        </w:rPr>
        <w:t xml:space="preserve">не превышали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показатели, установленные Ведомственной программой цифровой трансформации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на 2025 финансовый год и плановый период 2026-2027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гг., утверж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денной приказом Росреестра от 09.01.2025 № П/0001/25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а также государственной программой «Национальная система пространственных данных», утвержденной постановлением Правительства Российской Федерации от 01.12.2021 № 2148.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При этом не достигли плановых значений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январе 2026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 г.: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по государственному кадастровому учету (показатели, превышающие плановые – более 2 рабочих дней) –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  <w:t xml:space="preserve">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  <w:t xml:space="preserve"> регион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  <w:t xml:space="preserve">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;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по государственной регистрации прав (показатели превышающ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ие плановые – 2 рабочих дня) –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  <w:t xml:space="preserve">5 регионов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;</w:t>
      </w:r>
    </w:p>
    <w:p>
      <w:pPr>
        <w:spacing w:after="0" w:line="360" w:lineRule="auto"/>
        <w:ind w:firstLine="709"/>
        <w:contextualSpacing/>
        <w:jc w:val="both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по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государственному кадастровому учету и государственной регистрации прав (в рамках единой процедуры) – </w:t>
      </w:r>
      <w:r>
        <w:rPr>
          <w:rFonts w:ascii="Times New Roman" w:hAnsi="Times New Roman" w:eastAsia="SimSun" w:cs="Times New Roman"/>
          <w:b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SimSun" w:cs="Times New Roman"/>
          <w:b/>
          <w:color w:val="000000" w:themeColor="text1"/>
          <w:sz w:val="28"/>
          <w:szCs w:val="28"/>
        </w:rPr>
        <w:t xml:space="preserve"> регион</w:t>
      </w:r>
      <w:r>
        <w:rPr>
          <w:rFonts w:ascii="Times New Roman" w:hAnsi="Times New Roman" w:eastAsia="SimSun" w:cs="Times New Roman"/>
          <w:b/>
          <w:color w:val="000000" w:themeColor="text1"/>
          <w:sz w:val="28"/>
          <w:szCs w:val="28"/>
        </w:rPr>
        <w:t xml:space="preserve">ов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.</w:t>
      </w:r>
    </w:p>
    <w:p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bidi="ru-RU"/>
        </w:rPr>
      </w:pPr>
    </w:p>
    <w:sectPr>
      <w:headerReference w:type="default" r:id="rId9"/>
      <w:pgSz w:w="11906" w:h="16838"/>
      <w:pgMar w:top="1134" w:right="709" w:bottom="1135" w:left="1134" w:header="425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Calibri">
    <w:panose1 w:val="020F0502020204030204"/>
  </w:font>
  <w:font w:name="Segoe UI">
    <w:panose1 w:val="020B0502040504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af2"/>
        <w:rPr>
          <w:rFonts w:ascii="Times New Roman" w:hAnsi="Times New Roman"/>
        </w:rPr>
      </w:pPr>
      <w:r>
        <w:rPr>
          <w:rStyle w:val="af4"/>
        </w:rPr>
        <w:footnoteRef/>
      </w:r>
      <w:r>
        <w:rPr>
          <w:rFonts w:ascii="Times New Roman" w:hAnsi="Times New Roman"/>
          <w:iCs/>
        </w:rPr>
        <w:t xml:space="preserve">Федерального закона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2059435650"/>
      <w:docPartObj>
        <w:docPartGallery w:val="Page Numbers (Top of Page)"/>
        <w:docPartUnique w:val="true"/>
      </w:docPartObj>
    </w:sdtPr>
    <w:sdtContent>
      <w:p>
        <w:pPr>
          <w:pStyle w:val="a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</w:p>
    </w:sdtContent>
  </w:sdt>
  <w:p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3BF21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420" w:hanging="450"/>
      </w:pPr>
      <w:rPr>
        <w:rFonts w:hint="default"/>
        <w:b/>
        <w:i w:val="0"/>
        <w:iCs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525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8594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9303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372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1441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215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3219" w:hanging="2160"/>
      </w:pPr>
      <w:rPr>
        <w:rFonts w:hint="default"/>
        <w:i/>
      </w:rPr>
    </w:lvl>
  </w:abstractNum>
  <w:abstractNum w:abstractNumId="2">
    <w:multiLevelType w:val="hybridMultilevel"/>
    <w:lvl w:ilvl="0" w:tplc="BFC0A8E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 w:tplc="D034EA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931" w:hanging="360"/>
      </w:pPr>
    </w:lvl>
    <w:lvl w:ilvl="2" w:tentative="1" w:tplc="0419001B">
      <w:start w:val="1"/>
      <w:numFmt w:val="lowerRoman"/>
      <w:lvlText w:val="%3."/>
      <w:lvlJc w:val="right"/>
      <w:pPr>
        <w:ind w:left="2651" w:hanging="180"/>
      </w:pPr>
    </w:lvl>
    <w:lvl w:ilvl="3" w:tentative="1" w:tplc="0419000F">
      <w:start w:val="1"/>
      <w:numFmt w:val="decimal"/>
      <w:lvlText w:val="%4."/>
      <w:lvlJc w:val="left"/>
      <w:pPr>
        <w:ind w:left="3371" w:hanging="360"/>
      </w:pPr>
    </w:lvl>
    <w:lvl w:ilvl="4" w:tentative="1" w:tplc="04190019">
      <w:start w:val="1"/>
      <w:numFmt w:val="lowerLetter"/>
      <w:lvlText w:val="%5."/>
      <w:lvlJc w:val="left"/>
      <w:pPr>
        <w:ind w:left="4091" w:hanging="360"/>
      </w:pPr>
    </w:lvl>
    <w:lvl w:ilvl="5" w:tentative="1" w:tplc="0419001B">
      <w:start w:val="1"/>
      <w:numFmt w:val="lowerRoman"/>
      <w:lvlText w:val="%6."/>
      <w:lvlJc w:val="right"/>
      <w:pPr>
        <w:ind w:left="4811" w:hanging="180"/>
      </w:pPr>
    </w:lvl>
    <w:lvl w:ilvl="6" w:tentative="1" w:tplc="0419000F">
      <w:start w:val="1"/>
      <w:numFmt w:val="decimal"/>
      <w:lvlText w:val="%7."/>
      <w:lvlJc w:val="left"/>
      <w:pPr>
        <w:ind w:left="5531" w:hanging="360"/>
      </w:pPr>
    </w:lvl>
    <w:lvl w:ilvl="7" w:tentative="1" w:tplc="04190019">
      <w:start w:val="1"/>
      <w:numFmt w:val="lowerLetter"/>
      <w:lvlText w:val="%8."/>
      <w:lvlJc w:val="left"/>
      <w:pPr>
        <w:ind w:left="6251" w:hanging="360"/>
      </w:pPr>
    </w:lvl>
    <w:lvl w:ilvl="8" w:tentative="1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 w:tplc="4D82F9AC">
      <w:start w:val="1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1003" w:hanging="360"/>
      </w:pPr>
    </w:lvl>
    <w:lvl w:ilvl="2" w:tentative="1" w:tplc="0419001B">
      <w:start w:val="1"/>
      <w:numFmt w:val="lowerRoman"/>
      <w:lvlText w:val="%3."/>
      <w:lvlJc w:val="right"/>
      <w:pPr>
        <w:ind w:left="11723" w:hanging="180"/>
      </w:pPr>
    </w:lvl>
    <w:lvl w:ilvl="3" w:tentative="1" w:tplc="0419000F">
      <w:start w:val="1"/>
      <w:numFmt w:val="decimal"/>
      <w:lvlText w:val="%4."/>
      <w:lvlJc w:val="left"/>
      <w:pPr>
        <w:ind w:left="12443" w:hanging="360"/>
      </w:pPr>
    </w:lvl>
    <w:lvl w:ilvl="4" w:tentative="1" w:tplc="04190019">
      <w:start w:val="1"/>
      <w:numFmt w:val="lowerLetter"/>
      <w:lvlText w:val="%5."/>
      <w:lvlJc w:val="left"/>
      <w:pPr>
        <w:ind w:left="13163" w:hanging="360"/>
      </w:pPr>
    </w:lvl>
    <w:lvl w:ilvl="5" w:tentative="1" w:tplc="0419001B">
      <w:start w:val="1"/>
      <w:numFmt w:val="lowerRoman"/>
      <w:lvlText w:val="%6."/>
      <w:lvlJc w:val="right"/>
      <w:pPr>
        <w:ind w:left="13883" w:hanging="180"/>
      </w:pPr>
    </w:lvl>
    <w:lvl w:ilvl="6" w:tentative="1" w:tplc="0419000F">
      <w:start w:val="1"/>
      <w:numFmt w:val="decimal"/>
      <w:lvlText w:val="%7."/>
      <w:lvlJc w:val="left"/>
      <w:pPr>
        <w:ind w:left="14603" w:hanging="360"/>
      </w:pPr>
    </w:lvl>
    <w:lvl w:ilvl="7" w:tentative="1" w:tplc="04190019">
      <w:start w:val="1"/>
      <w:numFmt w:val="lowerLetter"/>
      <w:lvlText w:val="%8."/>
      <w:lvlJc w:val="left"/>
      <w:pPr>
        <w:ind w:left="15323" w:hanging="360"/>
      </w:pPr>
    </w:lvl>
    <w:lvl w:ilvl="8" w:tentative="1" w:tplc="0419001B">
      <w:start w:val="1"/>
      <w:numFmt w:val="lowerRoman"/>
      <w:lvlText w:val="%9."/>
      <w:lvlJc w:val="right"/>
      <w:pPr>
        <w:ind w:left="16043" w:hanging="180"/>
      </w:pPr>
    </w:lvl>
  </w:abstractNum>
  <w:abstractNum w:abstractNumId="5">
    <w:multiLevelType w:val="hybridMultilevel"/>
    <w:lvl w:ilvl="0" w:tplc="AD485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 w:tplc="0FFC9BB8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498" w:hanging="360"/>
      </w:pPr>
    </w:lvl>
    <w:lvl w:ilvl="2" w:tentative="1" w:tplc="0419001B">
      <w:start w:val="1"/>
      <w:numFmt w:val="lowerRoman"/>
      <w:lvlText w:val="%3."/>
      <w:lvlJc w:val="right"/>
      <w:pPr>
        <w:ind w:left="3218" w:hanging="180"/>
      </w:pPr>
    </w:lvl>
    <w:lvl w:ilvl="3" w:tentative="1" w:tplc="0419000F">
      <w:start w:val="1"/>
      <w:numFmt w:val="decimal"/>
      <w:lvlText w:val="%4."/>
      <w:lvlJc w:val="left"/>
      <w:pPr>
        <w:ind w:left="3938" w:hanging="360"/>
      </w:pPr>
    </w:lvl>
    <w:lvl w:ilvl="4" w:tentative="1" w:tplc="04190019">
      <w:start w:val="1"/>
      <w:numFmt w:val="lowerLetter"/>
      <w:lvlText w:val="%5."/>
      <w:lvlJc w:val="left"/>
      <w:pPr>
        <w:ind w:left="4658" w:hanging="360"/>
      </w:pPr>
    </w:lvl>
    <w:lvl w:ilvl="5" w:tentative="1" w:tplc="0419001B">
      <w:start w:val="1"/>
      <w:numFmt w:val="lowerRoman"/>
      <w:lvlText w:val="%6."/>
      <w:lvlJc w:val="right"/>
      <w:pPr>
        <w:ind w:left="5378" w:hanging="180"/>
      </w:pPr>
    </w:lvl>
    <w:lvl w:ilvl="6" w:tentative="1" w:tplc="0419000F">
      <w:start w:val="1"/>
      <w:numFmt w:val="decimal"/>
      <w:lvlText w:val="%7."/>
      <w:lvlJc w:val="left"/>
      <w:pPr>
        <w:ind w:left="6098" w:hanging="360"/>
      </w:pPr>
    </w:lvl>
    <w:lvl w:ilvl="7" w:tentative="1" w:tplc="04190019">
      <w:start w:val="1"/>
      <w:numFmt w:val="lowerLetter"/>
      <w:lvlText w:val="%8."/>
      <w:lvlJc w:val="left"/>
      <w:pPr>
        <w:ind w:left="6818" w:hanging="360"/>
      </w:pPr>
    </w:lvl>
    <w:lvl w:ilvl="8" w:tentative="1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multiLevelType w:val="hybridMultilevel"/>
    <w:lvl w:ilvl="0" w:tplc="419A153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multiLevelType w:val="hybridMultilevel"/>
    <w:lvl w:ilvl="0" w:tplc="51BAE442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multiLevelType w:val="hybridMultilevel"/>
    <w:lvl w:ilvl="0" w:tplc="78220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 w:tplc="A79A284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multiLevelType w:val="hybridMultilevel"/>
    <w:lvl w:ilvl="0" w:tplc="6F5EF6F4">
      <w:start w:val="10"/>
      <w:numFmt w:val="decimal"/>
      <w:lvlText w:val="%1."/>
      <w:lvlJc w:val="left"/>
      <w:pPr>
        <w:ind w:left="5621" w:hanging="37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6326" w:hanging="360"/>
      </w:pPr>
    </w:lvl>
    <w:lvl w:ilvl="2" w:tentative="1" w:tplc="0419001B">
      <w:start w:val="1"/>
      <w:numFmt w:val="lowerRoman"/>
      <w:lvlText w:val="%3."/>
      <w:lvlJc w:val="right"/>
      <w:pPr>
        <w:ind w:left="7046" w:hanging="180"/>
      </w:pPr>
    </w:lvl>
    <w:lvl w:ilvl="3" w:tentative="1" w:tplc="0419000F">
      <w:start w:val="1"/>
      <w:numFmt w:val="decimal"/>
      <w:lvlText w:val="%4."/>
      <w:lvlJc w:val="left"/>
      <w:pPr>
        <w:ind w:left="7766" w:hanging="360"/>
      </w:pPr>
    </w:lvl>
    <w:lvl w:ilvl="4" w:tentative="1" w:tplc="04190019">
      <w:start w:val="1"/>
      <w:numFmt w:val="lowerLetter"/>
      <w:lvlText w:val="%5."/>
      <w:lvlJc w:val="left"/>
      <w:pPr>
        <w:ind w:left="8486" w:hanging="360"/>
      </w:pPr>
    </w:lvl>
    <w:lvl w:ilvl="5" w:tentative="1" w:tplc="0419001B">
      <w:start w:val="1"/>
      <w:numFmt w:val="lowerRoman"/>
      <w:lvlText w:val="%6."/>
      <w:lvlJc w:val="right"/>
      <w:pPr>
        <w:ind w:left="9206" w:hanging="180"/>
      </w:pPr>
    </w:lvl>
    <w:lvl w:ilvl="6" w:tentative="1" w:tplc="0419000F">
      <w:start w:val="1"/>
      <w:numFmt w:val="decimal"/>
      <w:lvlText w:val="%7."/>
      <w:lvlJc w:val="left"/>
      <w:pPr>
        <w:ind w:left="9926" w:hanging="360"/>
      </w:pPr>
    </w:lvl>
    <w:lvl w:ilvl="7" w:tentative="1" w:tplc="04190019">
      <w:start w:val="1"/>
      <w:numFmt w:val="lowerLetter"/>
      <w:lvlText w:val="%8."/>
      <w:lvlJc w:val="left"/>
      <w:pPr>
        <w:ind w:left="10646" w:hanging="360"/>
      </w:pPr>
    </w:lvl>
    <w:lvl w:ilvl="8" w:tentative="1" w:tplc="0419001B">
      <w:start w:val="1"/>
      <w:numFmt w:val="lowerRoman"/>
      <w:lvlText w:val="%9."/>
      <w:lvlJc w:val="right"/>
      <w:pPr>
        <w:ind w:left="11366" w:hanging="180"/>
      </w:pPr>
    </w:lvl>
  </w:abstractNum>
  <w:abstractNum w:abstractNumId="12">
    <w:multiLevelType w:val="hybridMultilevel"/>
    <w:lvl w:ilvl="0" w:tplc="0B96FD2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 w:tplc="3126F9FA">
      <w:start w:val="8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858" w:hanging="360"/>
      </w:pPr>
    </w:lvl>
    <w:lvl w:ilvl="2" w:tentative="1" w:tplc="0419001B">
      <w:start w:val="1"/>
      <w:numFmt w:val="lowerRoman"/>
      <w:lvlText w:val="%3."/>
      <w:lvlJc w:val="right"/>
      <w:pPr>
        <w:ind w:left="3578" w:hanging="180"/>
      </w:pPr>
    </w:lvl>
    <w:lvl w:ilvl="3" w:tentative="1" w:tplc="0419000F">
      <w:start w:val="1"/>
      <w:numFmt w:val="decimal"/>
      <w:lvlText w:val="%4."/>
      <w:lvlJc w:val="left"/>
      <w:pPr>
        <w:ind w:left="4298" w:hanging="360"/>
      </w:pPr>
    </w:lvl>
    <w:lvl w:ilvl="4" w:tentative="1" w:tplc="04190019">
      <w:start w:val="1"/>
      <w:numFmt w:val="lowerLetter"/>
      <w:lvlText w:val="%5."/>
      <w:lvlJc w:val="left"/>
      <w:pPr>
        <w:ind w:left="5018" w:hanging="360"/>
      </w:pPr>
    </w:lvl>
    <w:lvl w:ilvl="5" w:tentative="1" w:tplc="0419001B">
      <w:start w:val="1"/>
      <w:numFmt w:val="lowerRoman"/>
      <w:lvlText w:val="%6."/>
      <w:lvlJc w:val="right"/>
      <w:pPr>
        <w:ind w:left="5738" w:hanging="180"/>
      </w:pPr>
    </w:lvl>
    <w:lvl w:ilvl="6" w:tentative="1" w:tplc="0419000F">
      <w:start w:val="1"/>
      <w:numFmt w:val="decimal"/>
      <w:lvlText w:val="%7."/>
      <w:lvlJc w:val="left"/>
      <w:pPr>
        <w:ind w:left="6458" w:hanging="360"/>
      </w:pPr>
    </w:lvl>
    <w:lvl w:ilvl="7" w:tentative="1" w:tplc="04190019">
      <w:start w:val="1"/>
      <w:numFmt w:val="lowerLetter"/>
      <w:lvlText w:val="%8."/>
      <w:lvlJc w:val="left"/>
      <w:pPr>
        <w:ind w:left="7178" w:hanging="360"/>
      </w:pPr>
    </w:lvl>
    <w:lvl w:ilvl="8" w:tentative="1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multiLevelType w:val="hybridMultilevel"/>
    <w:lvl w:ilvl="0" w:tplc="66EE3D7A">
      <w:start w:val="5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858" w:hanging="360"/>
      </w:pPr>
    </w:lvl>
    <w:lvl w:ilvl="2" w:tentative="1" w:tplc="0419001B">
      <w:start w:val="1"/>
      <w:numFmt w:val="lowerRoman"/>
      <w:lvlText w:val="%3."/>
      <w:lvlJc w:val="right"/>
      <w:pPr>
        <w:ind w:left="3578" w:hanging="180"/>
      </w:pPr>
    </w:lvl>
    <w:lvl w:ilvl="3" w:tentative="1" w:tplc="0419000F">
      <w:start w:val="1"/>
      <w:numFmt w:val="decimal"/>
      <w:lvlText w:val="%4."/>
      <w:lvlJc w:val="left"/>
      <w:pPr>
        <w:ind w:left="4298" w:hanging="360"/>
      </w:pPr>
    </w:lvl>
    <w:lvl w:ilvl="4" w:tentative="1" w:tplc="04190019">
      <w:start w:val="1"/>
      <w:numFmt w:val="lowerLetter"/>
      <w:lvlText w:val="%5."/>
      <w:lvlJc w:val="left"/>
      <w:pPr>
        <w:ind w:left="5018" w:hanging="360"/>
      </w:pPr>
    </w:lvl>
    <w:lvl w:ilvl="5" w:tentative="1" w:tplc="0419001B">
      <w:start w:val="1"/>
      <w:numFmt w:val="lowerRoman"/>
      <w:lvlText w:val="%6."/>
      <w:lvlJc w:val="right"/>
      <w:pPr>
        <w:ind w:left="5738" w:hanging="180"/>
      </w:pPr>
    </w:lvl>
    <w:lvl w:ilvl="6" w:tentative="1" w:tplc="0419000F">
      <w:start w:val="1"/>
      <w:numFmt w:val="decimal"/>
      <w:lvlText w:val="%7."/>
      <w:lvlJc w:val="left"/>
      <w:pPr>
        <w:ind w:left="6458" w:hanging="360"/>
      </w:pPr>
    </w:lvl>
    <w:lvl w:ilvl="7" w:tentative="1" w:tplc="04190019">
      <w:start w:val="1"/>
      <w:numFmt w:val="lowerLetter"/>
      <w:lvlText w:val="%8."/>
      <w:lvlJc w:val="left"/>
      <w:pPr>
        <w:ind w:left="7178" w:hanging="360"/>
      </w:pPr>
    </w:lvl>
    <w:lvl w:ilvl="8" w:tentative="1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multiLevelType w:val="hybridMultilevel"/>
    <w:lvl w:ilvl="0" w:tplc="0FE8A77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 w:tplc="31108C78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9444" w:hanging="360"/>
      </w:pPr>
    </w:lvl>
    <w:lvl w:ilvl="2" w:tentative="1" w:tplc="0419001B">
      <w:start w:val="1"/>
      <w:numFmt w:val="lowerRoman"/>
      <w:lvlText w:val="%3."/>
      <w:lvlJc w:val="right"/>
      <w:pPr>
        <w:ind w:left="10164" w:hanging="180"/>
      </w:pPr>
    </w:lvl>
    <w:lvl w:ilvl="3" w:tentative="1" w:tplc="0419000F">
      <w:start w:val="1"/>
      <w:numFmt w:val="decimal"/>
      <w:lvlText w:val="%4."/>
      <w:lvlJc w:val="left"/>
      <w:pPr>
        <w:ind w:left="10884" w:hanging="360"/>
      </w:pPr>
    </w:lvl>
    <w:lvl w:ilvl="4" w:tentative="1" w:tplc="04190019">
      <w:start w:val="1"/>
      <w:numFmt w:val="lowerLetter"/>
      <w:lvlText w:val="%5."/>
      <w:lvlJc w:val="left"/>
      <w:pPr>
        <w:ind w:left="11604" w:hanging="360"/>
      </w:pPr>
    </w:lvl>
    <w:lvl w:ilvl="5" w:tentative="1" w:tplc="0419001B">
      <w:start w:val="1"/>
      <w:numFmt w:val="lowerRoman"/>
      <w:lvlText w:val="%6."/>
      <w:lvlJc w:val="right"/>
      <w:pPr>
        <w:ind w:left="12324" w:hanging="180"/>
      </w:pPr>
    </w:lvl>
    <w:lvl w:ilvl="6" w:tentative="1" w:tplc="0419000F">
      <w:start w:val="1"/>
      <w:numFmt w:val="decimal"/>
      <w:lvlText w:val="%7."/>
      <w:lvlJc w:val="left"/>
      <w:pPr>
        <w:ind w:left="13044" w:hanging="360"/>
      </w:pPr>
    </w:lvl>
    <w:lvl w:ilvl="7" w:tentative="1" w:tplc="04190019">
      <w:start w:val="1"/>
      <w:numFmt w:val="lowerLetter"/>
      <w:lvlText w:val="%8."/>
      <w:lvlJc w:val="left"/>
      <w:pPr>
        <w:ind w:left="13764" w:hanging="360"/>
      </w:pPr>
    </w:lvl>
    <w:lvl w:ilvl="8" w:tentative="1" w:tplc="0419001B">
      <w:start w:val="1"/>
      <w:numFmt w:val="lowerRoman"/>
      <w:lvlText w:val="%9."/>
      <w:lvlJc w:val="right"/>
      <w:pPr>
        <w:ind w:left="14484" w:hanging="180"/>
      </w:pPr>
    </w:lvl>
  </w:abstractNum>
  <w:abstractNum w:abstractNumId="17">
    <w:multiLevelType w:val="hybridMultilevel"/>
    <w:lvl w:ilvl="0" w:tplc="7FBCBA1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 w:tplc="1DAA857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 w:tplc="BD52AC68">
      <w:start w:val="1"/>
      <w:numFmt w:val="decimal"/>
      <w:lvlText w:val="%1."/>
      <w:lvlJc w:val="left"/>
      <w:pPr>
        <w:ind w:left="2771" w:hanging="360"/>
      </w:pPr>
      <w:rPr>
        <w:rFonts w:hint="default"/>
        <w:i/>
      </w:rPr>
    </w:lvl>
    <w:lvl w:ilvl="1" w:tentative="1" w:tplc="04190019">
      <w:start w:val="1"/>
      <w:numFmt w:val="lowerLetter"/>
      <w:lvlText w:val="%2."/>
      <w:lvlJc w:val="left"/>
      <w:pPr>
        <w:ind w:left="3491" w:hanging="360"/>
      </w:pPr>
    </w:lvl>
    <w:lvl w:ilvl="2" w:tentative="1" w:tplc="0419001B">
      <w:start w:val="1"/>
      <w:numFmt w:val="lowerRoman"/>
      <w:lvlText w:val="%3."/>
      <w:lvlJc w:val="right"/>
      <w:pPr>
        <w:ind w:left="4211" w:hanging="180"/>
      </w:pPr>
    </w:lvl>
    <w:lvl w:ilvl="3" w:tentative="1" w:tplc="0419000F">
      <w:start w:val="1"/>
      <w:numFmt w:val="decimal"/>
      <w:lvlText w:val="%4."/>
      <w:lvlJc w:val="left"/>
      <w:pPr>
        <w:ind w:left="4931" w:hanging="360"/>
      </w:pPr>
    </w:lvl>
    <w:lvl w:ilvl="4" w:tentative="1" w:tplc="04190019">
      <w:start w:val="1"/>
      <w:numFmt w:val="lowerLetter"/>
      <w:lvlText w:val="%5."/>
      <w:lvlJc w:val="left"/>
      <w:pPr>
        <w:ind w:left="5651" w:hanging="360"/>
      </w:pPr>
    </w:lvl>
    <w:lvl w:ilvl="5" w:tentative="1" w:tplc="0419001B">
      <w:start w:val="1"/>
      <w:numFmt w:val="lowerRoman"/>
      <w:lvlText w:val="%6."/>
      <w:lvlJc w:val="right"/>
      <w:pPr>
        <w:ind w:left="6371" w:hanging="180"/>
      </w:pPr>
    </w:lvl>
    <w:lvl w:ilvl="6" w:tentative="1" w:tplc="0419000F">
      <w:start w:val="1"/>
      <w:numFmt w:val="decimal"/>
      <w:lvlText w:val="%7."/>
      <w:lvlJc w:val="left"/>
      <w:pPr>
        <w:ind w:left="7091" w:hanging="360"/>
      </w:pPr>
    </w:lvl>
    <w:lvl w:ilvl="7" w:tentative="1" w:tplc="04190019">
      <w:start w:val="1"/>
      <w:numFmt w:val="lowerLetter"/>
      <w:lvlText w:val="%8."/>
      <w:lvlJc w:val="left"/>
      <w:pPr>
        <w:ind w:left="7811" w:hanging="360"/>
      </w:pPr>
    </w:lvl>
    <w:lvl w:ilvl="8" w:tentative="1" w:tplc="0419001B">
      <w:start w:val="1"/>
      <w:numFmt w:val="lowerRoman"/>
      <w:lvlText w:val="%9."/>
      <w:lvlJc w:val="right"/>
      <w:pPr>
        <w:ind w:left="8531" w:hanging="180"/>
      </w:p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>
    <w:multiLevelType w:val="hybridMultilevel"/>
    <w:lvl w:ilvl="0" w:tplc="A0D0ED88">
      <w:start w:val="1"/>
      <w:numFmt w:val="decimal"/>
      <w:lvlText w:val="%1."/>
      <w:lvlJc w:val="left"/>
      <w:pPr>
        <w:ind w:left="720" w:hanging="360"/>
      </w:pPr>
      <w:rPr>
        <w:rFonts w:hint="default" w:eastAsiaTheme="minorHAnsi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 w:tplc="0C36F63E">
      <w:start w:val="8"/>
      <w:numFmt w:val="decimal"/>
      <w:lvlText w:val="%1."/>
      <w:lvlJc w:val="left"/>
      <w:pPr>
        <w:ind w:left="518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5900" w:hanging="360"/>
      </w:pPr>
    </w:lvl>
    <w:lvl w:ilvl="2" w:tentative="1" w:tplc="0419001B">
      <w:start w:val="1"/>
      <w:numFmt w:val="lowerRoman"/>
      <w:lvlText w:val="%3."/>
      <w:lvlJc w:val="right"/>
      <w:pPr>
        <w:ind w:left="6620" w:hanging="180"/>
      </w:pPr>
    </w:lvl>
    <w:lvl w:ilvl="3" w:tentative="1" w:tplc="0419000F">
      <w:start w:val="1"/>
      <w:numFmt w:val="decimal"/>
      <w:lvlText w:val="%4."/>
      <w:lvlJc w:val="left"/>
      <w:pPr>
        <w:ind w:left="7340" w:hanging="360"/>
      </w:pPr>
    </w:lvl>
    <w:lvl w:ilvl="4" w:tentative="1" w:tplc="04190019">
      <w:start w:val="1"/>
      <w:numFmt w:val="lowerLetter"/>
      <w:lvlText w:val="%5."/>
      <w:lvlJc w:val="left"/>
      <w:pPr>
        <w:ind w:left="8060" w:hanging="360"/>
      </w:pPr>
    </w:lvl>
    <w:lvl w:ilvl="5" w:tentative="1" w:tplc="0419001B">
      <w:start w:val="1"/>
      <w:numFmt w:val="lowerRoman"/>
      <w:lvlText w:val="%6."/>
      <w:lvlJc w:val="right"/>
      <w:pPr>
        <w:ind w:left="8780" w:hanging="180"/>
      </w:pPr>
    </w:lvl>
    <w:lvl w:ilvl="6" w:tentative="1" w:tplc="0419000F">
      <w:start w:val="1"/>
      <w:numFmt w:val="decimal"/>
      <w:lvlText w:val="%7."/>
      <w:lvlJc w:val="left"/>
      <w:pPr>
        <w:ind w:left="9500" w:hanging="360"/>
      </w:pPr>
    </w:lvl>
    <w:lvl w:ilvl="7" w:tentative="1" w:tplc="04190019">
      <w:start w:val="1"/>
      <w:numFmt w:val="lowerLetter"/>
      <w:lvlText w:val="%8."/>
      <w:lvlJc w:val="left"/>
      <w:pPr>
        <w:ind w:left="10220" w:hanging="360"/>
      </w:pPr>
    </w:lvl>
    <w:lvl w:ilvl="8" w:tentative="1" w:tplc="0419001B">
      <w:start w:val="1"/>
      <w:numFmt w:val="lowerRoman"/>
      <w:lvlText w:val="%9."/>
      <w:lvlJc w:val="right"/>
      <w:pPr>
        <w:ind w:left="10940" w:hanging="180"/>
      </w:pPr>
    </w:lvl>
  </w:abstractNum>
  <w:abstractNum w:abstractNumId="23">
    <w:multiLevelType w:val="hybridMultilevel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 w:tplc="7FBCBA1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 w:tplc="1FB24E8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931" w:hanging="360"/>
      </w:pPr>
    </w:lvl>
    <w:lvl w:ilvl="2" w:tentative="1" w:tplc="0419001B">
      <w:start w:val="1"/>
      <w:numFmt w:val="lowerRoman"/>
      <w:lvlText w:val="%3."/>
      <w:lvlJc w:val="right"/>
      <w:pPr>
        <w:ind w:left="2651" w:hanging="180"/>
      </w:pPr>
    </w:lvl>
    <w:lvl w:ilvl="3" w:tentative="1" w:tplc="0419000F">
      <w:start w:val="1"/>
      <w:numFmt w:val="decimal"/>
      <w:lvlText w:val="%4."/>
      <w:lvlJc w:val="left"/>
      <w:pPr>
        <w:ind w:left="3371" w:hanging="360"/>
      </w:pPr>
    </w:lvl>
    <w:lvl w:ilvl="4" w:tentative="1" w:tplc="04190019">
      <w:start w:val="1"/>
      <w:numFmt w:val="lowerLetter"/>
      <w:lvlText w:val="%5."/>
      <w:lvlJc w:val="left"/>
      <w:pPr>
        <w:ind w:left="4091" w:hanging="360"/>
      </w:pPr>
    </w:lvl>
    <w:lvl w:ilvl="5" w:tentative="1" w:tplc="0419001B">
      <w:start w:val="1"/>
      <w:numFmt w:val="lowerRoman"/>
      <w:lvlText w:val="%6."/>
      <w:lvlJc w:val="right"/>
      <w:pPr>
        <w:ind w:left="4811" w:hanging="180"/>
      </w:pPr>
    </w:lvl>
    <w:lvl w:ilvl="6" w:tentative="1" w:tplc="0419000F">
      <w:start w:val="1"/>
      <w:numFmt w:val="decimal"/>
      <w:lvlText w:val="%7."/>
      <w:lvlJc w:val="left"/>
      <w:pPr>
        <w:ind w:left="5531" w:hanging="360"/>
      </w:pPr>
    </w:lvl>
    <w:lvl w:ilvl="7" w:tentative="1" w:tplc="04190019">
      <w:start w:val="1"/>
      <w:numFmt w:val="lowerLetter"/>
      <w:lvlText w:val="%8."/>
      <w:lvlJc w:val="left"/>
      <w:pPr>
        <w:ind w:left="6251" w:hanging="360"/>
      </w:pPr>
    </w:lvl>
    <w:lvl w:ilvl="8" w:tentative="1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"/>
  </w:num>
  <w:num w:numId="3">
    <w:abstractNumId w:val="1"/>
  </w:num>
  <w:num w:numId="4">
    <w:abstractNumId w:val="24"/>
  </w:num>
  <w:num w:numId="5">
    <w:abstractNumId w:val="17"/>
  </w:num>
  <w:num w:numId="6">
    <w:abstractNumId w:val="18"/>
  </w:num>
  <w:num w:numId="7">
    <w:abstractNumId w:val="0"/>
  </w:num>
  <w:num w:numId="8">
    <w:abstractNumId w:val="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14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5"/>
  </w:num>
  <w:num w:numId="18">
    <w:abstractNumId w:val="22"/>
  </w:num>
  <w:num w:numId="19">
    <w:abstractNumId w:val="11"/>
  </w:num>
  <w:num w:numId="20">
    <w:abstractNumId w:val="2"/>
  </w:num>
  <w:num w:numId="21">
    <w:abstractNumId w:val="21"/>
  </w:num>
  <w:num w:numId="22">
    <w:abstractNumId w:val="9"/>
  </w:num>
  <w:num w:numId="23">
    <w:abstractNumId w:val="12"/>
  </w:num>
  <w:num w:numId="24">
    <w:abstractNumId w:val="23"/>
  </w:num>
  <w:num w:numId="25">
    <w:abstractNumId w:val="19"/>
  </w:num>
  <w:num w:numId="26">
    <w:abstractNumId w:val="5"/>
  </w:num>
  <w:num w:numId="27">
    <w:abstractNumId w:val="1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List Paragraph"/>
    <w:aliases w:val="Bullet List,FooterText,numbered,Paragraphe de liste1,lp1,it_List1,Абзац списка литеральный,Абзац списка21,Источник,Абзац списка2"/>
    <w:basedOn w:val="a"/>
    <w:link w:val="a7"/>
    <w:uiPriority w:val="34"/>
    <w:qFormat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Нижний колонтитул Знак"/>
    <w:basedOn w:val="a0"/>
    <w:link w:val="aa"/>
    <w:uiPriority w:val="99"/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pPr>
      <w:spacing w:after="200" w:line="240" w:lineRule="auto"/>
    </w:pPr>
    <w:rPr>
      <w:sz w:val="20"/>
      <w:szCs w:val="20"/>
    </w:rPr>
  </w:style>
  <w:style w:type="character" w:styleId="ae" w:customStyle="1">
    <w:name w:val="Текст примечания Знак"/>
    <w:basedOn w:val="a0"/>
    <w:link w:val="ad"/>
    <w:uiPriority w:val="9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pPr>
      <w:spacing w:after="160"/>
    </w:pPr>
    <w:rPr>
      <w:b/>
      <w:bCs/>
    </w:rPr>
  </w:style>
  <w:style w:type="character" w:styleId="af0" w:customStyle="1">
    <w:name w:val="Тема примечания Знак"/>
    <w:basedOn w:val="ae"/>
    <w:link w:val="af"/>
    <w:uiPriority w:val="99"/>
    <w:semiHidden/>
    <w:rPr>
      <w:b/>
      <w:bCs/>
      <w:sz w:val="20"/>
      <w:szCs w:val="20"/>
    </w:rPr>
  </w:style>
  <w:style w:type="table" w:styleId="af1">
    <w:name w:val="Table Grid"/>
    <w:aliases w:val="OTR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styleId="af3" w:customStyle="1">
    <w:name w:val="Текст сноски Знак"/>
    <w:basedOn w:val="a0"/>
    <w:link w:val="af2"/>
    <w:uiPriority w:val="99"/>
    <w:rPr>
      <w:rFonts w:ascii="Calibri" w:hAnsi="Calibri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Style6" w:customStyle="1">
    <w:name w:val="Style6"/>
    <w:basedOn w:val="a"/>
    <w:uiPriority w:val="99"/>
    <w:pPr>
      <w:widowControl w:val="off"/>
      <w:spacing w:after="0" w:line="322" w:lineRule="exact"/>
      <w:ind w:firstLine="742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FontStyle18" w:customStyle="1">
    <w:name w:val="Font Style18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FontStyle19" w:customStyle="1">
    <w:name w:val="Font Style19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styleId="FontStyle20" w:customStyle="1">
    <w:name w:val="Font Style2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FontStyle30" w:customStyle="1">
    <w:name w:val="Font Style30"/>
    <w:basedOn w:val="a0"/>
    <w:uiPriority w:val="99"/>
    <w:rPr>
      <w:rFonts w:ascii="Times New Roman" w:hAnsi="Times New Roman" w:cs="Times New Roman"/>
      <w:sz w:val="20"/>
      <w:szCs w:val="20"/>
    </w:rPr>
  </w:style>
  <w:style w:type="paragraph" w:styleId="Style8" w:customStyle="1">
    <w:name w:val="Style8"/>
    <w:basedOn w:val="a"/>
    <w:uiPriority w:val="99"/>
    <w:pPr>
      <w:widowControl w:val="off"/>
      <w:spacing w:after="0" w:line="317" w:lineRule="exact"/>
      <w:ind w:firstLine="706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21" w:customStyle="1">
    <w:name w:val="Основной текст (2)_"/>
    <w:basedOn w:val="a0"/>
    <w:link w:val="22"/>
    <w:locked/>
    <w:rPr>
      <w:shd w:val="clear" w:color="auto" w:fill="ffffff"/>
    </w:rPr>
  </w:style>
  <w:style w:type="paragraph" w:styleId="22" w:customStyle="1">
    <w:name w:val="Основной текст (2)"/>
    <w:basedOn w:val="a"/>
    <w:link w:val="21"/>
    <w:pPr>
      <w:shd w:val="clear" w:color="auto" w:fill="ffffff"/>
      <w:spacing w:after="0" w:line="317" w:lineRule="exact"/>
      <w:jc w:val="center"/>
    </w:pPr>
  </w:style>
  <w:style w:type="paragraph" w:styleId="11" w:customStyle="1">
    <w:name w:val="Абзац списка1"/>
    <w:basedOn w:val="a"/>
    <w:pPr>
      <w:spacing w:after="0" w:line="240" w:lineRule="auto"/>
      <w:ind w:left="720"/>
      <w:contextualSpacing/>
    </w:pPr>
    <w:rPr>
      <w:rFonts w:ascii="Calibri" w:hAnsi="Calibri" w:eastAsia="Times New Roman" w:cs="Times New Roman"/>
    </w:rPr>
  </w:style>
  <w:style w:type="paragraph" w:styleId="af5">
    <w:name w:val="Plain Text"/>
    <w:basedOn w:val="a"/>
    <w:link w:val="af6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styleId="af6" w:customStyle="1">
    <w:name w:val="Текст Знак"/>
    <w:basedOn w:val="a0"/>
    <w:link w:val="af5"/>
    <w:uiPriority w:val="99"/>
    <w:semiHidden/>
    <w:rPr>
      <w:rFonts w:ascii="Calibri" w:hAnsi="Calibri"/>
      <w:szCs w:val="21"/>
    </w:rPr>
  </w:style>
  <w:style w:type="paragraph" w:styleId="12" w:customStyle="1">
    <w:name w:val="Обычный (Интернет)1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xmsonormal" w:customStyle="1">
    <w:name w:val="x_msonormal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7" w:customStyle="1">
    <w:name w:val="Основной текст_"/>
    <w:link w:val="13"/>
    <w:rPr>
      <w:sz w:val="27"/>
      <w:szCs w:val="27"/>
      <w:shd w:val="clear" w:color="auto" w:fill="ffffff"/>
    </w:rPr>
  </w:style>
  <w:style w:type="paragraph" w:styleId="13" w:customStyle="1">
    <w:name w:val="Основной текст1"/>
    <w:basedOn w:val="a"/>
    <w:link w:val="af7"/>
    <w:pPr>
      <w:widowControl w:val="off"/>
      <w:shd w:val="clear" w:color="auto" w:fill="ffffff"/>
      <w:spacing w:before="420" w:after="600" w:line="0" w:lineRule="atLeast"/>
      <w:jc w:val="center"/>
    </w:pPr>
    <w:rPr>
      <w:sz w:val="27"/>
      <w:szCs w:val="27"/>
    </w:rPr>
  </w:style>
  <w:style w:type="paragraph" w:styleId="af8">
    <w:name w:val="Revision"/>
    <w:hidden/>
    <w:uiPriority w:val="99"/>
    <w:semiHidden/>
    <w:pPr>
      <w:spacing w:after="0" w:line="240" w:lineRule="auto"/>
    </w:pPr>
  </w:style>
  <w:style w:type="paragraph" w:styleId="Style1" w:customStyle="1">
    <w:name w:val="Style1"/>
    <w:basedOn w:val="a"/>
    <w:uiPriority w:val="99"/>
    <w:pPr>
      <w:widowControl w:val="off"/>
      <w:spacing w:after="0" w:line="365" w:lineRule="exact"/>
      <w:ind w:firstLine="698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FontStyle15" w:customStyle="1">
    <w:name w:val="Font Style15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" w:customStyle="1">
    <w:name w:val="Заголовок 2 Знак"/>
    <w:basedOn w:val="a0"/>
    <w:link w:val="2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fc" w:customStyle="1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UnresolvedMention" w:customStyle="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7" w:customStyle="1">
    <w:name w:val="Абзац списка Знак"/>
    <w:aliases w:val="Bullet List Знак,FooterText Знак,numbered Знак,Paragraphe de liste1 Знак,lp1 Знак,it_List1 Знак,Абзац списка литеральный Знак,Абзац списка21 Знак,Источник Знак,Абзац списка2 Знак"/>
    <w:basedOn w:val="a0"/>
    <w:link w:val="a6"/>
    <w:uiPriority w:val="34"/>
    <w:lock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F99BB08CE5454689792EE7D6CD2808" ma:contentTypeVersion="0" ma:contentTypeDescription="Создание документа." ma:contentTypeScope="" ma:versionID="787e920e690be1faafbcb90368a6df3a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C4F0E13-B633-4DC4-AD42-4510B349F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6DE238-3690-47D4-AF20-2C5AACF0B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518D2C3-D5A2-460A-A622-13E410E2B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396B86-0533-44A6-8AEC-7D4DB8BF6D0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haracters>26251</Characters>
  <CharactersWithSpaces>30795</CharactersWithSpaces>
  <Company>SPecialiST RePack</Company>
  <DocSecurity>0</DocSecurity>
  <HyperlinksChanged>false</HyperlinksChanged>
  <Lines>218</Lines>
  <LinksUpToDate>false</LinksUpToDate>
  <Pages>18</Pages>
  <Paragraphs>61</Paragraphs>
  <ScaleCrop>false</ScaleCrop>
  <SharedDoc>false</SharedDoc>
  <Template>Normal.dotm</Template>
  <TotalTime>0</TotalTime>
  <Words>4605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Наталья Анатольевна</dc:creator>
  <cp:keywords/>
  <dc:description/>
  <cp:lastModifiedBy>zelimkhanovaliliya</cp:lastModifiedBy>
  <cp:revision>2</cp:revision>
  <cp:lastPrinted>2026-02-26T09:03:00Z</cp:lastPrinted>
  <dcterms:created xsi:type="dcterms:W3CDTF">2026-02-27T10:37:00Z</dcterms:created>
  <dcterms:modified xsi:type="dcterms:W3CDTF">2026-02-27T10:37:00Z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0x010100A5F99BB08CE5454689792EE7D6CD2808</vt:lpwstr>
  </property>
  <property fmtid="{D5CDD505-2E9C-101B-9397-08002B2CF9AE}" pid="3" name="Наименовение документа">
    <vt:lpwstr>Доклад Ю.В. Куницыной</vt:lpwstr>
  </property>
</Properties>
</file>