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Аналитическая записка по изменению законодательства РФ,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а также издание органом нормативного регулирования писем разъяснительного характера, </w:t>
      </w:r>
    </w:p>
    <w:p>
      <w:pPr>
        <w:pStyle w:val="Normal"/>
        <w:jc w:val="center"/>
        <w:rPr>
          <w:b/>
        </w:rPr>
      </w:pPr>
      <w:r>
        <w:rPr>
          <w:b/>
        </w:rPr>
        <w:t>касающихся деятельности Филиала, изданных (опубликованных) в апреле 2026 года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893"/>
        <w:tblW w:w="151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"/>
        <w:gridCol w:w="2721"/>
        <w:gridCol w:w="4730"/>
        <w:gridCol w:w="6892"/>
      </w:tblGrid>
      <w:tr>
        <w:trPr>
          <w:trHeight w:val="1155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/>
              <w:spacing w:before="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Наименование органа, издавшего документ, дата вступления в силу</w:t>
            </w:r>
          </w:p>
        </w:tc>
        <w:tc>
          <w:tcPr>
            <w:tcW w:w="47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Источник нормативного регулирования: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Нормативно-правовые акты, разъяснительные письма</w:t>
            </w:r>
          </w:p>
        </w:tc>
        <w:tc>
          <w:tcPr>
            <w:tcW w:w="689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  <w:t>Содержание</w:t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>1.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  <w:t>Минэкономразвития России</w:t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Законопроект № </w:t>
            </w:r>
            <w:hyperlink r:id="rId2" w:tooltip="http://consultant-srv.fkp77.local:20101/cgi/online.cgi?req=doc&amp;rnd=c42055f5f5505098996286dbe6749c83&amp;base=PRJ&amp;n=272926&amp;dst=0">
              <w:r>
                <w:rPr>
                  <w:rStyle w:val="Hyperlink"/>
                  <w:color w:val="000000"/>
                  <w:kern w:val="0"/>
                  <w:lang w:val="ru-RU" w:bidi="ar-SA"/>
                </w:rPr>
                <w:t>1208563-8</w:t>
              </w:r>
            </w:hyperlink>
          </w:p>
          <w:p>
            <w:pPr>
              <w:pStyle w:val="Normal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«О внесении изменения  в статью 217 части первой</w:t>
            </w:r>
          </w:p>
          <w:p>
            <w:pPr>
              <w:pStyle w:val="Normal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Гражданского Кодекса Российской </w:t>
              <w:br/>
              <w:t>Федерации»</w:t>
            </w:r>
          </w:p>
          <w:p>
            <w:pPr>
              <w:pStyle w:val="Normal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6892" w:type="dxa"/>
            <w:tcBorders/>
          </w:tcPr>
          <w:p>
            <w:pPr>
              <w:pStyle w:val="Normal"/>
              <w:jc w:val="both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Законопроектом предусматривается, что </w:t>
            </w:r>
            <w:r>
              <w:rPr>
                <w:color w:val="000000"/>
                <w:kern w:val="0"/>
                <w:lang w:val="ru-RU" w:bidi="ar-SA"/>
              </w:rPr>
              <w:t xml:space="preserve">на иски </w:t>
              <w:br/>
              <w:t>об и</w:t>
            </w:r>
            <w:r>
              <w:rPr>
                <w:color w:val="000000"/>
                <w:kern w:val="0"/>
                <w:u w:val="none"/>
              </w:rPr>
              <w:t xml:space="preserve">стребовании имущества, которое приобретено в частную собственность с нарушением, </w:t>
            </w:r>
            <w:hyperlink r:id="rId3" w:tooltip="http://consultant-srv.fkp77.local:20101/cgi/online.cgi?req=doc&amp;rnd=c42055f5f5505098996286dbe6749c83&amp;base=PRJ&amp;n=272926&amp;dst=100010">
              <w:r>
                <w:rPr>
                  <w:rStyle w:val="Hyperlink"/>
                  <w:color w:val="000000"/>
                  <w:kern w:val="0"/>
                  <w:u w:val="none"/>
                  <w:shd w:fill="auto" w:val="clear"/>
                </w:rPr>
                <w:t>распространяются</w:t>
              </w:r>
            </w:hyperlink>
            <w:r>
              <w:rPr>
                <w:rStyle w:val="Hyperlink"/>
                <w:color w:val="000000"/>
                <w:kern w:val="0"/>
                <w:u w:val="none"/>
              </w:rPr>
              <w:t xml:space="preserve"> </w:t>
            </w:r>
            <w:r>
              <w:rPr>
                <w:color w:val="000000"/>
                <w:kern w:val="0"/>
                <w:u w:val="none"/>
              </w:rPr>
              <w:t xml:space="preserve">общие сроки давности и правила их исчисления. Речь идет о 3-летнем </w:t>
              <w:br/>
              <w:t xml:space="preserve">и 10-летнем </w:t>
            </w:r>
            <w:hyperlink r:id="rId4" w:tooltip="http://consultant-srv.fkp77.local:20101/cgi/online.cgi?req=doc&amp;rnd=c42055f5f5505098996286dbe6749c83&amp;base=LAW&amp;n=508490&amp;dst=509">
              <w:r>
                <w:rPr>
                  <w:rStyle w:val="Hyperlink"/>
                  <w:color w:val="000000"/>
                  <w:kern w:val="0"/>
                  <w:u w:val="none"/>
                </w:rPr>
                <w:t>периодах</w:t>
              </w:r>
            </w:hyperlink>
            <w:r>
              <w:rPr>
                <w:color w:val="000000"/>
                <w:kern w:val="0"/>
                <w:u w:val="none"/>
              </w:rPr>
              <w:t xml:space="preserve">. То же касается споров о применении </w:t>
              <w:br/>
              <w:t>других последствий несоблюдения требований к приватизации.</w:t>
            </w:r>
          </w:p>
          <w:p>
            <w:pPr>
              <w:pStyle w:val="Normal"/>
              <w:jc w:val="both"/>
              <w:rPr>
                <w:lang w:val="ru-RU" w:bidi="ar-SA"/>
              </w:rPr>
            </w:pPr>
            <w:r>
              <w:rPr>
                <w:color w:val="000000"/>
                <w:kern w:val="0"/>
                <w:u w:val="none"/>
              </w:rPr>
              <w:t xml:space="preserve">Планируется, что поправки заработают </w:t>
            </w:r>
            <w:hyperlink r:id="rId5" w:tooltip="http://consultant-srv.fkp77.local:20101/cgi/online.cgi?req=doc&amp;rnd=c42055f5f5505098996286dbe6749c83&amp;base=PRJ&amp;n=272926&amp;dst=100013">
              <w:r>
                <w:rPr>
                  <w:rStyle w:val="Hyperlink"/>
                  <w:color w:val="000000"/>
                  <w:kern w:val="0"/>
                  <w:u w:val="none"/>
                  <w:shd w:fill="auto" w:val="clear"/>
                </w:rPr>
                <w:t xml:space="preserve">со дня </w:t>
              </w:r>
              <w:r>
                <w:rPr>
                  <w:rStyle w:val="Hyperlink"/>
                  <w:color w:val="000000"/>
                  <w:kern w:val="0"/>
                  <w:u w:val="none"/>
                  <w:shd w:fill="auto" w:val="clear"/>
                </w:rPr>
                <w:t>опубликования</w:t>
              </w:r>
            </w:hyperlink>
            <w:r>
              <w:rPr>
                <w:rStyle w:val="Hyperlink"/>
                <w:color w:val="000000"/>
                <w:kern w:val="0"/>
                <w:u w:val="none"/>
                <w:shd w:fill="auto" w:val="clear"/>
              </w:rPr>
              <w:t xml:space="preserve"> </w:t>
            </w:r>
            <w:r>
              <w:rPr>
                <w:color w:val="000000"/>
                <w:kern w:val="0"/>
                <w:u w:val="none"/>
              </w:rPr>
              <w:t>закона. Они</w:t>
            </w:r>
            <w:r>
              <w:rPr>
                <w:color w:val="000000"/>
                <w:kern w:val="0"/>
                <w:u w:val="none"/>
                <w:shd w:fill="auto" w:val="clear"/>
              </w:rPr>
              <w:t xml:space="preserve"> </w:t>
            </w:r>
            <w:hyperlink r:id="rId6" w:tooltip="http://consultant-srv.fkp77.local:20101/cgi/online.cgi?req=doc&amp;rnd=c42055f5f5505098996286dbe6749c83&amp;base=PRJ&amp;n=272926&amp;dst=100016">
              <w:r>
                <w:rPr>
                  <w:rStyle w:val="Hyperlink"/>
                  <w:color w:val="000000"/>
                  <w:kern w:val="0"/>
                  <w:u w:val="none"/>
                  <w:shd w:fill="auto" w:val="clear"/>
                </w:rPr>
                <w:t>затронут</w:t>
              </w:r>
            </w:hyperlink>
            <w:r>
              <w:rPr>
                <w:rStyle w:val="Hyperlink"/>
                <w:color w:val="000000"/>
                <w:kern w:val="0"/>
                <w:u w:val="none"/>
                <w:shd w:fill="auto" w:val="clear"/>
              </w:rPr>
              <w:t xml:space="preserve"> </w:t>
            </w:r>
            <w:r>
              <w:rPr>
                <w:color w:val="000000"/>
                <w:kern w:val="0"/>
                <w:u w:val="none"/>
              </w:rPr>
              <w:t xml:space="preserve">в том числе требования, сроки </w:t>
              <w:br/>
              <w:t>предъявления ко</w:t>
            </w:r>
            <w:r>
              <w:rPr>
                <w:color w:val="000000"/>
                <w:kern w:val="0"/>
                <w:lang w:val="ru-RU" w:bidi="ar-SA"/>
              </w:rPr>
              <w:t xml:space="preserve">торых возникнут до этой даты, </w:t>
              <w:br/>
              <w:t>если решение суда еще не вступит в силу.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16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bidi="ar-SA"/>
              </w:rPr>
              <w:t xml:space="preserve">сейчас исковую давность не применяют при изъятии </w:t>
              <w:br/>
              <w:t xml:space="preserve">имущества, которое приватизировали 15 - 30 лет назад. </w:t>
              <w:br/>
              <w:t>Из-за этого у инвесторов возникает неопределенность при оценке законности его получения;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160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bidi="ar-SA"/>
              </w:rPr>
              <w:t>общие сроки по-прежнему не будут распространяться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before="0" w:after="160"/>
              <w:ind w:hanging="0" w:left="709"/>
              <w:contextualSpacing/>
              <w:jc w:val="both"/>
              <w:rPr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lang w:val="ru-RU" w:bidi="ar-SA"/>
              </w:rPr>
              <w:t>на антикоррупционные и противоэкстремистские иски.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>2.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before="0" w:after="0"/>
              <w:jc w:val="left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hd w:fill="auto" w:val="clear"/>
                <w:lang w:val="ru-RU" w:bidi="ar-SA"/>
              </w:rPr>
              <w:t>Минюст России</w:t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 xml:space="preserve">Законопроект ID проекта </w:t>
              <w:br/>
              <w:t>04/13/04-26/00167264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 xml:space="preserve">«О внесении изменений в отдельные </w:t>
              <w:br/>
              <w:t xml:space="preserve">законодательные акты Российской </w:t>
              <w:br/>
              <w:t>Федерации»</w:t>
            </w:r>
          </w:p>
        </w:tc>
        <w:tc>
          <w:tcPr>
            <w:tcW w:w="689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Планируют закрепить право арбитражного суда после </w:t>
              <w:br/>
              <w:t xml:space="preserve">исследования заключения эксперта </w:t>
            </w:r>
            <w:hyperlink r:id="rId7" w:tooltip="consultantplus://offline/main?base=PRJ;n=272856;dst=100009">
              <w:r>
                <w:rPr>
                  <w:rStyle w:val="Style"/>
                  <w:color w:val="000000"/>
                  <w:kern w:val="0"/>
                  <w:lang w:val="ru-RU" w:bidi="ar-SA"/>
                </w:rPr>
                <w:t>уменьшить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назначенную ему  </w:t>
            </w:r>
            <w:hyperlink r:id="rId8" w:tooltip="consultantplus://offline/main?base=LAW;n=520138;dst=100654">
              <w:r>
                <w:rPr>
                  <w:rStyle w:val="Style"/>
                  <w:color w:val="000000"/>
                  <w:kern w:val="0"/>
                  <w:lang w:val="ru-RU" w:bidi="ar-SA"/>
                </w:rPr>
                <w:t>выплату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. Речь идет о снижении суммы по ходатайству хотя бы одной из сторон либо по инициативе суда, но с учетом их </w:t>
              <w:br/>
              <w:t xml:space="preserve">мнения. Однако это можно будет сделать лишь в </w:t>
            </w:r>
            <w:hyperlink r:id="rId9" w:tooltip="consultantplus://offline/main?base=PRJ;n=272856;dst=100011">
              <w:r>
                <w:rPr>
                  <w:rStyle w:val="Style"/>
                  <w:color w:val="000000"/>
                  <w:kern w:val="0"/>
                  <w:lang w:val="ru-RU" w:bidi="ar-SA"/>
                </w:rPr>
                <w:t>таких случаях</w:t>
              </w:r>
            </w:hyperlink>
            <w:r>
              <w:rPr>
                <w:color w:val="000000"/>
                <w:kern w:val="0"/>
                <w:lang w:val="ru-RU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в заключении эксперта нет ответов на вопросы по его сфере </w:t>
              <w:br/>
              <w:t xml:space="preserve">знаний. Выплату не снизят, если он письменно мотивировал </w:t>
              <w:br/>
              <w:t>невозможность дать заключение или указал в нем причины,</w:t>
              <w:br/>
              <w:t xml:space="preserve">по которым </w:t>
            </w:r>
            <w:hyperlink r:id="rId10" w:tooltip="consultantplus://offline/main?base=LAW;n=520138;dst=100318">
              <w:r>
                <w:rPr>
                  <w:rStyle w:val="Style"/>
                  <w:color w:val="000000"/>
                  <w:kern w:val="0"/>
                  <w:lang w:val="ru-RU" w:bidi="ar-SA"/>
                </w:rPr>
                <w:t>нельзя сформировать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выводы по ряду вопросов;</w:t>
            </w:r>
          </w:p>
          <w:p>
            <w:pPr>
              <w:pStyle w:val="Normal"/>
              <w:jc w:val="both"/>
              <w:rPr>
                <w:kern w:val="0"/>
              </w:rPr>
            </w:pPr>
            <w:r>
              <w:rPr>
                <w:color w:val="000000"/>
                <w:kern w:val="0"/>
                <w:szCs w:val="22"/>
                <w:lang w:val="ru-RU" w:bidi="ar-SA"/>
              </w:rPr>
              <w:t xml:space="preserve">отдельные выводы не соответствуют НПА из </w:t>
            </w:r>
            <w:r>
              <w:rPr>
                <w:color w:val="000000"/>
                <w:kern w:val="0"/>
                <w:lang w:val="ru-RU" w:bidi="ar-SA"/>
              </w:rPr>
              <w:t>заключения,</w:t>
              <w:br/>
              <w:t>а эксперт к тому же серьезно нарушил требования АПК РФ</w:t>
              <w:br/>
              <w:t xml:space="preserve">либо </w:t>
            </w:r>
            <w:hyperlink r:id="rId11" w:tooltip="consultantplus://offline/main?base=LAW;n=481285;dst=0">
              <w:r>
                <w:rPr>
                  <w:rStyle w:val="Style"/>
                  <w:color w:val="000000"/>
                  <w:kern w:val="0"/>
                  <w:lang w:val="ru-RU" w:bidi="ar-SA"/>
                </w:rPr>
                <w:t>Закона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о государственной судебно-экспертной </w:t>
              <w:br/>
              <w:t xml:space="preserve">деятельности. </w:t>
            </w:r>
            <w:bookmarkStart w:id="0" w:name="_GoBack"/>
            <w:bookmarkEnd w:id="0"/>
            <w:r>
              <w:rPr>
                <w:color w:val="000000"/>
                <w:kern w:val="0"/>
                <w:lang w:val="ru-RU" w:bidi="ar-SA"/>
              </w:rPr>
              <w:t xml:space="preserve">Условие – заключение признали, например, </w:t>
              <w:br/>
              <w:t>недопустимым доказательством;</w:t>
            </w:r>
          </w:p>
          <w:p>
            <w:pPr>
              <w:pStyle w:val="Normal"/>
              <w:jc w:val="both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заключение не передали суду в срок из определения </w:t>
              <w:br/>
              <w:t xml:space="preserve">о назначении экспертизы мотивированное сообщение о том, </w:t>
              <w:br/>
              <w:t xml:space="preserve">что было невозможно. При этом эксперт не предоставил </w:t>
              <w:br/>
              <w:t xml:space="preserve">ее </w:t>
            </w:r>
            <w:hyperlink r:id="rId12" w:tooltip="consultantplus://offline/main?base=LAW;n=520138;dst=100318">
              <w:r>
                <w:rPr>
                  <w:rStyle w:val="Style"/>
                  <w:color w:val="000000"/>
                  <w:kern w:val="0"/>
                  <w:lang w:val="ru-RU" w:bidi="ar-SA"/>
                </w:rPr>
                <w:t>провести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либо </w:t>
            </w:r>
            <w:hyperlink r:id="rId13" w:tooltip="consultantplus://offline/main?base=LAW;n=520138;dst=102231">
              <w:r>
                <w:rPr>
                  <w:rStyle w:val="Style"/>
                  <w:color w:val="000000"/>
                  <w:kern w:val="0"/>
                  <w:lang w:val="ru-RU" w:bidi="ar-SA"/>
                </w:rPr>
                <w:t>соблюсти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данный срок;</w:t>
            </w:r>
          </w:p>
          <w:p>
            <w:pPr>
              <w:pStyle w:val="Normal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плату за процедуру явно завысили. Чтобы установить это, суд должен оценить ее уникальность и сложность, объем изученных материалов, квалификацию эксперта и цену тех же услуг в иных экспертных организациях.</w:t>
            </w:r>
          </w:p>
          <w:p>
            <w:pPr>
              <w:pStyle w:val="Normal"/>
              <w:jc w:val="both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>Если эксперт дополнительно обоснует размер вознаграждения, то суд даст оценку этим аргументам.</w:t>
            </w:r>
          </w:p>
          <w:p>
            <w:pPr>
              <w:pStyle w:val="Normal"/>
              <w:jc w:val="both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>Аналогичными нормами хотят дополнить ГПК РФ и КАС РФ.</w:t>
            </w:r>
          </w:p>
          <w:p>
            <w:pPr>
              <w:pStyle w:val="Normal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>3.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Государственная Дума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 w:bidi="ar-SA"/>
              </w:rPr>
            </w:pPr>
            <w:r>
              <w:rPr>
                <w:kern w:val="0"/>
                <w:lang w:val="ru-RU" w:bidi="ar-SA"/>
              </w:rPr>
              <w:t>01.03.2026</w:t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widowControl/>
              <w:spacing w:lineRule="atLeast" w:line="288" w:before="0" w:after="0"/>
              <w:jc w:val="center"/>
              <w:rPr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Федеральный закон от 31.07.2025 </w:t>
              <w:br/>
              <w:t>№ 295-ФЗ</w:t>
              <w:br/>
              <w:t xml:space="preserve">«О внесении изменений в Земельный </w:t>
              <w:br/>
              <w:t xml:space="preserve">кодекс Российской Федерации, отдельные законодательные акты Российской </w:t>
              <w:br/>
              <w:t>Федерации и признании утратившими силу отдельных положений законодательных актов Российской Федерации»</w:t>
            </w:r>
          </w:p>
          <w:p>
            <w:pPr>
              <w:pStyle w:val="Normal"/>
              <w:widowControl/>
              <w:spacing w:lineRule="atLeast" w:line="288"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</w:tc>
        <w:tc>
          <w:tcPr>
            <w:tcW w:w="6892" w:type="dxa"/>
            <w:tcBorders/>
          </w:tcPr>
          <w:p>
            <w:pPr>
              <w:pStyle w:val="Normal"/>
              <w:widowControl/>
              <w:spacing w:lineRule="atLeast" w:line="288"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Федеральный </w:t>
            </w:r>
            <w:r>
              <w:rPr>
                <w:color w:themeColor="text1" w:val="000000"/>
                <w:kern w:val="0"/>
                <w:lang w:val="ru-RU" w:bidi="ar-SA"/>
              </w:rPr>
              <w:t xml:space="preserve">закон </w:t>
            </w:r>
            <w:r>
              <w:rPr>
                <w:color w:val="000000"/>
                <w:kern w:val="0"/>
                <w:lang w:val="ru-RU" w:bidi="ar-SA"/>
              </w:rPr>
              <w:t xml:space="preserve">устраняет правовую неопределенность </w:t>
              <w:br/>
              <w:t>в вопросах установления видов разрешенного использования земельных участков, а также порядка предоставления земель.</w:t>
            </w:r>
          </w:p>
          <w:p>
            <w:pPr>
              <w:pStyle w:val="Normal"/>
              <w:widowControl/>
              <w:spacing w:lineRule="atLeast" w:line="288"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- установлен перечень документов, которыми определяются </w:t>
              <w:br/>
              <w:t xml:space="preserve">виды разрешенного использования земельных участков </w:t>
              <w:br/>
              <w:t xml:space="preserve">(градостроительный регламент, лесохозяйственный регламент, положение об особо охраняемой природной территории). </w:t>
              <w:br/>
              <w:t xml:space="preserve">- закрепляются случаи, когда использование земельных </w:t>
              <w:br/>
              <w:t xml:space="preserve">участков допускается вне зависимости от установленного вида разрешенного использования - для размещения геодезических пунктов государственной геодезической сети, нивелирных </w:t>
              <w:br/>
              <w:t xml:space="preserve">пунктов государственной нивелирной сети, возведения </w:t>
              <w:br/>
              <w:t>некапитальных строений, сооружений (включая ограждения, бытовки, навесы);</w:t>
            </w:r>
          </w:p>
          <w:p>
            <w:pPr>
              <w:pStyle w:val="Normal"/>
              <w:widowControl/>
              <w:spacing w:lineRule="atLeast" w:line="288"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- водится понятный порядок выбора видов разрешенного </w:t>
              <w:br/>
              <w:t>использования - кто, как и при каких условиях может выбрать вид разрешенного использования земельного участка;</w:t>
            </w:r>
          </w:p>
          <w:p>
            <w:pPr>
              <w:pStyle w:val="Normal"/>
              <w:widowControl/>
              <w:spacing w:lineRule="atLeast" w:line="288"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- в Земельном </w:t>
            </w:r>
            <w:r>
              <w:rPr>
                <w:color w:themeColor="text1" w:val="000000"/>
                <w:kern w:val="0"/>
                <w:lang w:val="ru-RU" w:bidi="ar-SA"/>
              </w:rPr>
              <w:t>кодексе</w:t>
            </w:r>
            <w:r>
              <w:rPr>
                <w:color w:val="000000"/>
                <w:kern w:val="0"/>
                <w:lang w:val="ru-RU" w:bidi="ar-SA"/>
              </w:rPr>
              <w:t xml:space="preserve"> закрепляются ситуации, когда </w:t>
              <w:br/>
              <w:t xml:space="preserve">разрешенное использование земельного участка </w:t>
              <w:br/>
              <w:t xml:space="preserve">устанавливается не регламентом использования земель, </w:t>
              <w:br/>
              <w:t xml:space="preserve">а документацией по планировке территории или лицензией </w:t>
              <w:br/>
              <w:t xml:space="preserve">на недропользование (для размещения линейных объектов, </w:t>
              <w:br/>
              <w:t>в границах особой экономической зоны, инновационных</w:t>
              <w:br/>
              <w:t xml:space="preserve"> научно-технологических центров, территории опережающего развития);</w:t>
            </w:r>
          </w:p>
          <w:p>
            <w:pPr>
              <w:pStyle w:val="Normal"/>
              <w:widowControl/>
              <w:spacing w:lineRule="atLeast" w:line="288"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- подробно регламентируется порядок определения видов </w:t>
              <w:br/>
              <w:t xml:space="preserve">разрешенного использования земельных участков при их </w:t>
              <w:br/>
              <w:t>образовании.</w:t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>4.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Росреестр</w:t>
            </w:r>
          </w:p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26.04.2026</w:t>
              <w:br/>
            </w:r>
          </w:p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Приказ Росреестра от 11.03.2026 </w:t>
              <w:br/>
              <w:t>№ П/0117/26</w:t>
              <w:br/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«О внесении изменения в приложение </w:t>
              <w:br/>
              <w:t xml:space="preserve">№ 1 к приказу Федеральной службы </w:t>
              <w:br/>
              <w:t xml:space="preserve">государственной регистрации, кадастра </w:t>
              <w:br/>
              <w:t xml:space="preserve">и картографии от 28 октября 2024 г. </w:t>
              <w:br/>
              <w:t>№ П/0335/24»</w:t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6892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Электронная выписка из ЕГРН об объекте недвижимости </w:t>
              <w:br/>
              <w:t>подорожает для организаций с 26 апреля 2026 года</w:t>
            </w:r>
          </w:p>
          <w:p>
            <w:pPr>
              <w:pStyle w:val="Normal"/>
              <w:spacing w:lineRule="atLeast" w:line="288"/>
              <w:jc w:val="both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Плата за одну выписку составит </w:t>
            </w:r>
            <w:hyperlink r:id="rId14" w:tooltip="http://consultant-srv.fkp77.local:20101/cgi/online.cgi?req=doc&amp;rnd=c42055f5f5505098996286dbe6749c83&amp;base=LAW&amp;n=532005&amp;dst=100024">
              <w:r>
                <w:rPr>
                  <w:rStyle w:val="Hyperlink"/>
                  <w:color w:val="000000"/>
                  <w:kern w:val="0"/>
                  <w:u w:val="none"/>
                  <w:shd w:fill="auto" w:val="clear"/>
                  <w:lang w:val="ru-RU" w:bidi="ar-SA"/>
                </w:rPr>
                <w:t>1640 руб.</w:t>
              </w:r>
            </w:hyperlink>
            <w:r>
              <w:rPr>
                <w:rStyle w:val="Hyperlink"/>
                <w:color w:val="000000"/>
                <w:kern w:val="0"/>
                <w:u w:val="none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u w:val="none"/>
                <w:lang w:val="ru-RU" w:bidi="ar-SA"/>
              </w:rPr>
              <w:t xml:space="preserve">вместо </w:t>
            </w:r>
            <w:hyperlink r:id="rId15" w:tooltip="http://consultant-srv.fkp77.local:20101/cgi/online.cgi?req=doc&amp;rnd=c42055f5f5505098996286dbe6749c83&amp;base=LAW&amp;n=517451&amp;dst=100061">
              <w:r>
                <w:rPr>
                  <w:rStyle w:val="Hyperlink"/>
                  <w:color w:val="000000"/>
                  <w:kern w:val="0"/>
                  <w:u w:val="none"/>
                  <w:lang w:val="ru-RU" w:bidi="ar-SA"/>
                </w:rPr>
                <w:t>1400 руб.</w:t>
              </w:r>
            </w:hyperlink>
          </w:p>
          <w:p>
            <w:pPr>
              <w:pStyle w:val="Normal"/>
              <w:spacing w:lineRule="atLeast" w:line="288"/>
              <w:jc w:val="both"/>
              <w:rPr>
                <w:color w:val="000000"/>
              </w:rPr>
            </w:pPr>
            <w:r>
              <w:rPr>
                <w:kern w:val="0"/>
              </w:rPr>
              <w:br/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>5.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Росреестр</w:t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Письмо Росреестра от 15.04.2026 </w:t>
              <w:br/>
              <w:t xml:space="preserve">№ 14-02228/26 «О присвоении адреса </w:t>
              <w:br/>
              <w:t>объекту недвижимости»</w:t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6892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Разъяснен порядок и основания присвоения адресов объектам недвижимости, вывод - на момент подготовки межевого</w:t>
              <w:br/>
              <w:t>или технического плана объекту недвижимости уже должен быть присвоен адрес и его уникальный идентификатор.</w:t>
            </w:r>
          </w:p>
        </w:tc>
      </w:tr>
      <w:tr>
        <w:trPr>
          <w:trHeight w:val="329" w:hRule="atLeast"/>
        </w:trPr>
        <w:tc>
          <w:tcPr>
            <w:tcW w:w="817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6.</w:t>
            </w:r>
          </w:p>
        </w:tc>
        <w:tc>
          <w:tcPr>
            <w:tcW w:w="2721" w:type="dxa"/>
            <w:tcBorders/>
          </w:tcPr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Росреестр</w:t>
            </w:r>
          </w:p>
        </w:tc>
        <w:tc>
          <w:tcPr>
            <w:tcW w:w="4730" w:type="dxa"/>
            <w:tcBorders/>
            <w:vAlign w:val="center"/>
          </w:tcPr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Письмо Росреестра от 03.04.2026 </w:t>
              <w:br/>
              <w:t>№ 18-00852/2</w:t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center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6892" w:type="dxa"/>
            <w:tcBorders/>
          </w:tcPr>
          <w:p>
            <w:pPr>
              <w:pStyle w:val="Normal"/>
              <w:spacing w:lineRule="atLeast" w:line="288"/>
              <w:jc w:val="both"/>
              <w:rPr>
                <w:kern w:val="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Кадастровый инженер имеет право обратиться за присвоением адреса объекту адресации при соблюдении условий, указанных в </w:t>
            </w:r>
            <w:hyperlink r:id="rId16" w:tooltip="consultantplus://offline/ref=76132569359AC8B795D1C19A446673D75FDF5648100B1261B583342E53E14F491B491B0FC675373DD5981CBB41A32B0CE81A20EEEBO7M">
              <w:r>
                <w:rPr>
                  <w:rStyle w:val="Hyperlink"/>
                  <w:color w:val="000000"/>
                  <w:kern w:val="0"/>
                  <w:lang w:val="ru-RU" w:bidi="ar-SA"/>
                </w:rPr>
                <w:t>пункте 29</w:t>
              </w:r>
            </w:hyperlink>
            <w:r>
              <w:rPr>
                <w:color w:val="000000"/>
                <w:kern w:val="0"/>
                <w:lang w:val="ru-RU" w:bidi="ar-SA"/>
              </w:rPr>
              <w:t xml:space="preserve"> Правил присвоения адреса, не как представитель правообладателя объекта недвижимости или его арендатора, </w:t>
              <w:br/>
              <w:t xml:space="preserve">как самостоятельное лицо, имеющее право на направление </w:t>
              <w:br/>
              <w:t>соответствующего заявления в уполномоченный орган.</w:t>
            </w:r>
          </w:p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spacing w:lineRule="atLeast" w:line="288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7"/>
      <w:headerReference w:type="default" r:id="rId18"/>
      <w:headerReference w:type="first" r:id="rId19"/>
      <w:type w:val="nextPage"/>
      <w:pgSz w:orient="landscape" w:w="16838" w:h="11906"/>
      <w:pgMar w:left="1134" w:right="567" w:gutter="0" w:header="708" w:top="851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auto"/>
    <w:pitch w:val="default"/>
  </w:font>
  <w:font w:name="Calibri Light">
    <w:charset w:val="01"/>
    <w:family w:val="auto"/>
    <w:pitch w:val="default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Segoe UI">
    <w:charset w:val="01"/>
    <w:family w:val="auto"/>
    <w:pitch w:val="default"/>
  </w:font>
  <w:font w:name="Courier New">
    <w:charset w:val="01"/>
    <w:family w:val="auto"/>
    <w:pitch w:val="default"/>
  </w:font>
  <w:font w:name="PT Astra Serif">
    <w:charset w:val="01"/>
    <w:family w:val="auto"/>
    <w:pitch w:val="default"/>
  </w:font>
  <w:font w:name="Calibri">
    <w:charset w:val="01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doccaption" w:customStyle="1">
    <w:name w:val="doccaption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blk" w:customStyle="1">
    <w:name w:val="blk"/>
    <w:basedOn w:val="DefaultParagraphFont"/>
    <w:qFormat/>
    <w:rPr>
      <w:vanish w:val="false"/>
    </w:rPr>
  </w:style>
  <w:style w:type="character" w:styleId="nobr" w:customStyle="1">
    <w:name w:val="nobr"/>
    <w:basedOn w:val="DefaultParagraphFont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oznaimen" w:customStyle="1">
    <w:name w:val="oz_naimen"/>
    <w:basedOn w:val="DefaultParagraphFont"/>
    <w:qFormat/>
    <w:rPr/>
  </w:style>
  <w:style w:type="character" w:styleId="pt-a0" w:customStyle="1">
    <w:name w:val="pt-a0"/>
    <w:basedOn w:val="DefaultParagraphFont"/>
    <w:qFormat/>
    <w:rPr/>
  </w:style>
  <w:style w:type="character" w:styleId="pt-a0-000004" w:customStyle="1">
    <w:name w:val="pt-a0-000004"/>
    <w:basedOn w:val="DefaultParagraphFont"/>
    <w:qFormat/>
    <w:rPr/>
  </w:style>
  <w:style w:type="character" w:styleId="doctitleimportant1" w:customStyle="1">
    <w:name w:val="doc__title_important1"/>
    <w:basedOn w:val="DefaultParagraphFont"/>
    <w:qFormat/>
    <w:rPr>
      <w:vanish w:val="false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Pr>
      <w:b/>
      <w:bCs/>
      <w:sz w:val="20"/>
      <w:szCs w:val="20"/>
    </w:rPr>
  </w:style>
  <w:style w:type="character" w:styleId="pt-a0-000002" w:customStyle="1">
    <w:name w:val="pt-a0-000002"/>
    <w:basedOn w:val="DefaultParagraphFont"/>
    <w:qFormat/>
    <w:rPr/>
  </w:style>
  <w:style w:type="character" w:styleId="pt-a0-000003" w:customStyle="1">
    <w:name w:val="pt-a0-000003"/>
    <w:basedOn w:val="DefaultParagraphFont"/>
    <w:qFormat/>
    <w:rPr/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/>
      <w:contextualSpacing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text-justif" w:customStyle="1">
    <w:name w:val="text-justif"/>
    <w:basedOn w:val="Normal"/>
    <w:qFormat/>
    <w:pPr>
      <w:spacing w:beforeAutospacing="1" w:afterAutospacing="1"/>
    </w:pPr>
    <w:rPr/>
  </w:style>
  <w:style w:type="paragraph" w:styleId="pnamecomment" w:customStyle="1">
    <w:name w:val="p_namecomment"/>
    <w:basedOn w:val="Normal"/>
    <w:qFormat/>
    <w:pPr>
      <w:spacing w:beforeAutospacing="1" w:afterAutospacing="1"/>
    </w:pPr>
    <w:rPr/>
  </w:style>
  <w:style w:type="paragraph" w:styleId="s3" w:customStyle="1">
    <w:name w:val="s_3"/>
    <w:basedOn w:val="Normal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pPr>
      <w:spacing w:before="0" w:after="160"/>
    </w:pPr>
    <w:rPr>
      <w:rFonts w:ascii="Calibri" w:hAnsi="Calibri" w:eastAsia="Calibri" w:cs="Arial" w:asciiTheme="minorHAnsi" w:cstheme="minorBid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pPr/>
    <w:rPr>
      <w:b/>
      <w:bCs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t-a-000001" w:customStyle="1">
    <w:name w:val="pt-a-000001"/>
    <w:basedOn w:val="Normal"/>
    <w:qFormat/>
    <w:pPr>
      <w:spacing w:beforeAutospacing="1" w:afterAutospacing="1"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76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68">
    <w:name w:val="Table Grid Light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0">
    <w:name w:val="Plain Table 2"/>
    <w:basedOn w:val="7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1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72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5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6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7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8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9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0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2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3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4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6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7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1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4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6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97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98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99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0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801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3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804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805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806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807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808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809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10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11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12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13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14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5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16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7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8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9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0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1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2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3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4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5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9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1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32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33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34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35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36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37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8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9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0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1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2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3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5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0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1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2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3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4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5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6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7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58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59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60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61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62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63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64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65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6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7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8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9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0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1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2">
    <w:name w:val="Lined - Accent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3">
    <w:name w:val="Lined - Accent 1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4">
    <w:name w:val="Lined - Accent 2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75">
    <w:name w:val="Lined - Accent 3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76">
    <w:name w:val="Lined - Accent 4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77">
    <w:name w:val="Lined - Accent 5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78">
    <w:name w:val="Lined - Accent 6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79">
    <w:name w:val="Bordered &amp; Lined - Accent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80">
    <w:name w:val="Bordered &amp; Lined - Accent 1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81">
    <w:name w:val="Bordered &amp; Lined - Accent 2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2">
    <w:name w:val="Bordered &amp; Lined - Accent 3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3">
    <w:name w:val="Bordered &amp; Lined - Accent 4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4">
    <w:name w:val="Bordered &amp; Lined - Accent 5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85">
    <w:name w:val="Bordered &amp; Lined - Accent 6"/>
    <w:basedOn w:val="767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86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87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88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89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90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91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92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93">
    <w:name w:val="Table Grid"/>
    <w:basedOn w:val="7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nsultant-srv.fkp77.local:20101/cgi/online.cgi?req=doc&amp;rnd=c42055f5f5505098996286dbe6749c83&amp;base=PRJ&amp;n=272926&amp;dst=0" TargetMode="External"/><Relationship Id="rId3" Type="http://schemas.openxmlformats.org/officeDocument/2006/relationships/hyperlink" Target="http://consultant-srv.fkp77.local:20101/cgi/online.cgi?req=doc&amp;rnd=c42055f5f5505098996286dbe6749c83&amp;base=PRJ&amp;n=272926&amp;dst=100010" TargetMode="External"/><Relationship Id="rId4" Type="http://schemas.openxmlformats.org/officeDocument/2006/relationships/hyperlink" Target="http://consultant-srv.fkp77.local:20101/cgi/online.cgi?req=doc&amp;rnd=c42055f5f5505098996286dbe6749c83&amp;base=LAW&amp;n=508490&amp;dst=509" TargetMode="External"/><Relationship Id="rId5" Type="http://schemas.openxmlformats.org/officeDocument/2006/relationships/hyperlink" Target="http://consultant-srv.fkp77.local:20101/cgi/online.cgi?req=doc&amp;rnd=c42055f5f5505098996286dbe6749c83&amp;base=PRJ&amp;n=272926&amp;dst=100013" TargetMode="External"/><Relationship Id="rId6" Type="http://schemas.openxmlformats.org/officeDocument/2006/relationships/hyperlink" Target="http://consultant-srv.fkp77.local:20101/cgi/online.cgi?req=doc&amp;rnd=c42055f5f5505098996286dbe6749c83&amp;base=PRJ&amp;n=272926&amp;dst=100016" TargetMode="External"/><Relationship Id="rId7" Type="http://schemas.openxmlformats.org/officeDocument/2006/relationships/hyperlink" Target="consultantplus://offline/main?base=PRJ;n=272856;dst=100009" TargetMode="External"/><Relationship Id="rId8" Type="http://schemas.openxmlformats.org/officeDocument/2006/relationships/hyperlink" Target="consultantplus://offline/main?base=LAW;n=520138;dst=100654" TargetMode="External"/><Relationship Id="rId9" Type="http://schemas.openxmlformats.org/officeDocument/2006/relationships/hyperlink" Target="consultantplus://offline/main?base=PRJ;n=272856;dst=100011" TargetMode="External"/><Relationship Id="rId10" Type="http://schemas.openxmlformats.org/officeDocument/2006/relationships/hyperlink" Target="consultantplus://offline/main?base=LAW;n=520138;dst=100318" TargetMode="External"/><Relationship Id="rId11" Type="http://schemas.openxmlformats.org/officeDocument/2006/relationships/hyperlink" Target="consultantplus://offline/main?base=LAW;n=481285;dst=0" TargetMode="External"/><Relationship Id="rId12" Type="http://schemas.openxmlformats.org/officeDocument/2006/relationships/hyperlink" Target="consultantplus://offline/main?base=LAW;n=520138;dst=100318" TargetMode="External"/><Relationship Id="rId13" Type="http://schemas.openxmlformats.org/officeDocument/2006/relationships/hyperlink" Target="consultantplus://offline/main?base=LAW;n=520138;dst=102231" TargetMode="External"/><Relationship Id="rId14" Type="http://schemas.openxmlformats.org/officeDocument/2006/relationships/hyperlink" Target="http://consultant-srv.fkp77.local:20101/cgi/online.cgi?req=doc&amp;rnd=c42055f5f5505098996286dbe6749c83&amp;base=LAW&amp;n=532005&amp;dst=100024" TargetMode="External"/><Relationship Id="rId15" Type="http://schemas.openxmlformats.org/officeDocument/2006/relationships/hyperlink" Target="http://consultant-srv.fkp77.local:20101/cgi/online.cgi?req=doc&amp;rnd=c42055f5f5505098996286dbe6749c83&amp;base=LAW&amp;n=517451&amp;dst=100061" TargetMode="External"/><Relationship Id="rId16" Type="http://schemas.openxmlformats.org/officeDocument/2006/relationships/hyperlink" Target="consultantplus://offline/ref=76132569359AC8B795D1C19A446673D75FDF5648100B1261B583342E53E14F491B491B0FC675373DD5981CBB41A32B0CE81A20EEEBO7M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header" Target="header3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20E2-AD75-4780-A071-F086AAA7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3</Pages>
  <Words>701</Words>
  <Characters>4880</Characters>
  <CharactersWithSpaces>5583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2025-11-01T09:47:00Z</dcterms:created>
  <dc:creator>Филиппова Екатерина Сергеевна</dc:creator>
  <dc:description/>
  <dc:language>ru-RU</dc:language>
  <cp:lastModifiedBy/>
  <dcterms:modified xsi:type="dcterms:W3CDTF">2026-05-04T11:46:09Z</dcterms:modified>
  <cp:revision>16</cp:revision>
  <dc:subject/>
  <dc:title/>
</cp:coreProperties>
</file>