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afterAutospacing="0" w:line="240" w:lineRule="auto"/>
        <w:rPr>
          <w:rFonts w:ascii="Times New Roman" w:hAnsi="Times New Roman" w:eastAsia="Times New Roman" w:cs="Times New Roman"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Доклад </w:t>
      </w:r>
      <w:r>
        <w:rPr>
          <w:rFonts w:ascii="Times New Roman" w:hAnsi="Times New Roman" w:eastAsia="Times New Roman" w:cs="Times New Roman"/>
          <w:bCs/>
          <w:i/>
          <w:sz w:val="28"/>
          <w:szCs w:val="28"/>
        </w:rPr>
      </w:r>
      <w:r>
        <w:rPr>
          <w:rFonts w:ascii="Times New Roman" w:hAnsi="Times New Roman" w:eastAsia="Times New Roman" w:cs="Times New Roman"/>
          <w:bCs/>
          <w:i/>
          <w:sz w:val="28"/>
          <w:szCs w:val="28"/>
        </w:rPr>
      </w:r>
    </w:p>
    <w:p>
      <w:pPr>
        <w:jc w:val="right"/>
        <w:spacing w:after="0" w:afterAutospacing="0" w:line="240" w:lineRule="auto"/>
        <w:rPr>
          <w:rFonts w:ascii="Times New Roman" w:hAnsi="Times New Roman" w:eastAsia="Times New Roman" w:cs="Times New Roman"/>
          <w:bCs/>
          <w:i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8"/>
          <w:highlight w:val="none"/>
        </w:rPr>
        <w:t xml:space="preserve">исполняющего обязанности начальника </w:t>
      </w:r>
      <w:r>
        <w:rPr>
          <w:rFonts w:ascii="Times New Roman" w:hAnsi="Times New Roman" w:eastAsia="Times New Roman" w:cs="Times New Roman"/>
          <w:bCs/>
          <w:i/>
          <w:sz w:val="28"/>
          <w:szCs w:val="28"/>
          <w:highlight w:val="none"/>
        </w:rPr>
      </w:r>
    </w:p>
    <w:p>
      <w:pPr>
        <w:jc w:val="right"/>
        <w:spacing w:after="0" w:afterAutospacing="0" w:line="240" w:lineRule="auto"/>
        <w:rPr>
          <w:rFonts w:ascii="Times New Roman" w:hAnsi="Times New Roman" w:eastAsia="Times New Roman" w:cs="Times New Roman"/>
          <w:bCs/>
          <w:i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правового обеспечения</w:t>
      </w:r>
      <w:r>
        <w:rPr>
          <w:rFonts w:ascii="Times New Roman" w:hAnsi="Times New Roman" w:eastAsia="Times New Roman" w:cs="Times New Roman"/>
          <w:bCs/>
          <w:i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Cs/>
          <w:i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Управления Росреестра </w:t>
      </w:r>
      <w:r>
        <w:rPr>
          <w:rFonts w:ascii="Times New Roman" w:hAnsi="Times New Roman" w:eastAsia="Times New Roman" w:cs="Times New Roman"/>
          <w:bCs/>
          <w:i/>
          <w:sz w:val="28"/>
          <w:szCs w:val="28"/>
          <w:highlight w:val="none"/>
        </w:rPr>
      </w:r>
    </w:p>
    <w:p>
      <w:pPr>
        <w:jc w:val="right"/>
        <w:spacing w:after="0" w:afterAutospacing="0" w:line="240" w:lineRule="auto"/>
        <w:rPr>
          <w:rFonts w:ascii="Times New Roman" w:hAnsi="Times New Roman" w:eastAsia="Times New Roman" w:cs="Times New Roman"/>
          <w:bCs/>
          <w:i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по Алтайскому краю</w:t>
      </w:r>
      <w:r>
        <w:rPr>
          <w:rFonts w:ascii="Times New Roman" w:hAnsi="Times New Roman" w:eastAsia="Times New Roman" w:cs="Times New Roman"/>
          <w:bCs/>
          <w:i/>
          <w:sz w:val="28"/>
          <w:szCs w:val="28"/>
          <w:highlight w:val="none"/>
        </w:rPr>
      </w:r>
      <w:r/>
    </w:p>
    <w:p>
      <w:pPr>
        <w:jc w:val="right"/>
        <w:spacing w:after="0" w:afterAutospacing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Ивановой В.О.</w:t>
      </w:r>
      <w:r>
        <w:rPr>
          <w:rFonts w:ascii="Times New Roman" w:hAnsi="Times New Roman" w:cs="Times New Roman"/>
          <w:bCs/>
          <w:i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  <w:highlight w:val="none"/>
        </w:rPr>
      </w:r>
      <w:r>
        <w:rPr>
          <w:rFonts w:ascii="Times New Roman" w:hAnsi="Times New Roman" w:cs="Times New Roman"/>
          <w:sz w:val="32"/>
          <w:szCs w:val="32"/>
          <w:highlight w:val="none"/>
        </w:rPr>
      </w:r>
    </w:p>
    <w:p>
      <w:pPr>
        <w:jc w:val="center"/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Тема доклада: о нарушениях, допущенных кадастровыми инженерами при осуществлении кадастровых 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32"/>
          <w:szCs w:val="32"/>
          <w:highlight w:val="none"/>
        </w:rPr>
      </w:r>
    </w:p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Управление Федеральной службы государственной регистрации, кадастра и картографии по Алтайскому краю поступило заявление                  о постановке на государственный кадастровый учет земельного участка для размещения гаража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(гараж №319), с приложением межевого плана </w:t>
        <w:br/>
        <w:t xml:space="preserve">от 08.04.2026 в связи с образованием земельного участка путем разд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ела </w:t>
        <w:br/>
        <w:t xml:space="preserve">с измененным земельным участком с кадастровым номером :5,  исправлением реестровой ошибки в местоположении границ земельного участка </w:t>
        <w:br/>
        <w:t xml:space="preserve">с кад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астровым номером :936. Дополнительным документом был приобщен межевой план от 16.04.2026.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В соответствии с п. 3 ч. 1 ст. 11.3 Земельного кодекса Российской Федерации ( далее - ЗК РФ) образование земельных участков из земель или земельных участков,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находящихся в государственной или муниципальной собственности, осуществляется в соответствии с утвержденной схемой расположения земельного участка на кадастровом плане территории.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Так, согласно ч. 1 ст. 11.10 ЗК РФ схема расположения земельного участка или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земельных участков на кадастровом плане территории (далее - схема расположения земельного участка) представляет собой изображение границ образуемого земельного участка или образуемых земельных участков на кадастровом плане территории. Схема расположения 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емельного участка утверждается решением исполнительного органа государственной власти или органа местного самоуправления, уполномоченных на предоставление находящихся в государственной или муниципальной собственности земельных участков (ч. 13 ст. 11.10 ЗК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Ф).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В представленный межевой план от 16.04.2026 включена схема расположения земельного участка, утвержденная распоряжением </w:t>
        <w:br/>
        <w:t xml:space="preserve">от 06.02.2026 Комитета по земельным ресурсам и землеустройству города Барнаула. Согласно утвержденной схемы расположения земельног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участка площадь образуемого земельного участка 20 кв.м.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При этом кадастровый инженер одновременно с постановкой земельного участка исправляет реестровую ошибку в местоположении границ смежного земельного участка с кадастровым номером :936, 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указывая что была неверно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пределена граница земельного участка между гаражом № 319 и гаражом             № 430, по причине неверного определения толщины стены между ними,              и двигая границу смежного земельного участка с кадастровым номером :936,  уменьшая пло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щадь земельного участка.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При загрузке координат образуемого земельного участка на карту установлено что конфигурация образуемого земельного участка отличается от конфигурации земельного участка в схеме. Кадастровый инженер изменяет конфигурацию образуемого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земельного участка и пододвигает границу смежного земельного участка, площадь образуемого земельного участка становиться 20 кв.м., в границах отличных от схемы расположения земельного участка.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Частями 8 и 9 ст. 22 Закона о регистрации определено что: – местоположение 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раниц земельного участка устанавливается посредством определения координат характерных точек таких границ, то есть точек изменения описания границ земельного участка и деления их на части; - площадью земельного участка, определенной с учетом установленных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Законом требований, является площадь геометрической фигуры, образованной проекцией границ земельного участка на горизонтальную плоскость. Таким образом, площадь земельного участка, является характеристикой, производной и зависящей от описа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ния местоположения его границ. Критерием для определения допустимого отклонения местоположения границ земельного участка в межевом плане от указанного в схеме расположения земельного участка является соответствие значения площади земельного участка, опреде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ленного в таких границах, пределам установленным п.42 ч.1 ст.26 Закона о регистрации. При этом местоположение в межевом плане не должно значительно отличаться </w:t>
        <w:br/>
        <w:t xml:space="preserve">от местоположения в схеме расположения земельного участка.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Согласно сведениям Единого государственного реестра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недвижимости (далее -ЕГРН) земельный участок с кадастровым номером :936 был образован в соответствии со схемой расположения земельного участка утвержденной распоряжением от 29.08.2024 Комитета по земельным ресурсам </w:t>
        <w:br/>
        <w:t xml:space="preserve">и землеустройству город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Барнаула. Положения Земельного кодекса Российской Федерации предусматривают возможность внесения изменений </w:t>
        <w:br/>
        <w:t xml:space="preserve">в документы, в соответствии с которыми осуществляется образование земельного участка, до осуществления государственного кадастрового учета такого 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емельного участка (пункт 8 статьи 11.9 Земельного кодекса Российской Федерации).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В случае осуществления государственного кадастрового учета и (или) государственной регистрации прав (ограничений прав) в отношении земельного участка, образованного в соответс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твии со Схемой, решение </w:t>
        <w:br/>
        <w:t xml:space="preserve">об утверждении Схемы считается исполненным, и внесение изменений в такое решение не допускается. Внесение изменений в сведения ЕГРН </w:t>
        <w:br/>
        <w:t xml:space="preserve">о местоположении границ такого земельного участка возможно при условии наличия согласия на такое уто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чнение органа государственной власти или органа местного самоуправления, утвердивших соответствующую схему расположения земельного участка.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В представленный межевой план от 16.04.2026 не включено согласие органа местного самоуправления на внесение изменени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 в местоположение границ земельного участка с кадастровым номером :936. Государственным регистратором был сделан запрос в Комитет по земельным ресурсам </w:t>
        <w:br/>
        <w:t xml:space="preserve">и землеустройству города Барнаула о согласовании изменений в схему расположения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земельного участка с кадастровым номером :936 </w:t>
        <w:br/>
        <w:t xml:space="preserve">на кадастровом плане территории, утвержденной распоряжение комитета по земельным ресурсам и землеустройству города Барнаула  от 29.08.2024 и внесении изменений в сведения ЕГРН, а так же о возмож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ности постановки земельного участка площадью 21 кв.м. (гараж № 319), согласно конфигурации указанной в межевом плане от 08.04.2026, отличной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схемы расположения земельного участка на кадастровом плане территории, утвержденной распоряжение комитета по земельным ресурсам и землеустройству города Барнаула от 06.02.2026.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Согласно ответу Комитета по земельным ресурсам и землеустройству города Барн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аула: Комитет согласовывает изменения сведений Единого государственного реестра недвижимости о местоположении границ земельного участка с кадастровым номером :936  (гараж № 430). В постановк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 земельного участка площадью 21 кв.м (гараж № 319) в конфигурации, отличающейся от границ указанного земельного участка, отраженных в схеме расположения, утвержденной распоряжением Комитета по земельн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ым ресурсам и землеустройству города Барнаула от 06.02.2026, Комитет отказывает.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Таким образом, осуществить постановку на государственный кадастровый учет земельного участка площадью 21 кв.м.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(гараж № 319) государственному регистратору не представилось возможным.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Осуществление действий по государственному кадастровому учету было приостановлено государственным регистратором по основаниям, предусмотренным пунктом п. 7 части 1 статьи 26 Закона о регистрации (форма и (или) содержание доку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мента, представленного для осуществления государственного кадастрового учета и (или) государственной регистрации прав, не соответствуют требованиям законодательства Российской Федерации).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Для устранения причин приостановки заявителю было рекомендовано  обратиться в Комитет по земельным ресурсам и землеустройству города Барнаула для подтверждения предполагаемой конфигурации земельного участка площадью 21 кв.м.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851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0"/>
      <w:jc w:val="center"/>
    </w:pPr>
    <w:fldSimple w:instr="PAGE \* MERGEFORMAT">
      <w:r>
        <w:t xml:space="preserve">1</w:t>
      </w:r>
    </w:fldSimple>
    <w:r/>
    <w:r/>
  </w:p>
  <w:p>
    <w:pPr>
      <w:pStyle w:val="680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2026-05-29T01:50:11Z</dcterms:modified>
</cp:coreProperties>
</file>