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главного специалиста-эксперта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Межмуниципального Бийского отдела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Управления Росреестра по Алтайскому краю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Кощеевой Е.А.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0"/>
        <w:jc w:val="both"/>
        <w:spacing w:line="28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0"/>
        <w:jc w:val="center"/>
        <w:spacing w:before="0" w:after="102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нарушениях, допущенных кадастровыми инженерами </w:t>
        <w:br/>
        <w:t xml:space="preserve"> при осуществлении кадастровых работ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left="0" w:right="0" w:firstLine="0"/>
        <w:jc w:val="center"/>
        <w:spacing w:before="0" w:after="102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Добрый день! Уважаемые коллеги!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Сегодняшний доклад традиционно посвящен нарушениям,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допущенным кадастровыми инженерами при осуществлении кадастровых работ.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Хочу начать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с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замечаний, касающихся НЕСООТВЕТСТВИЯ размера образуемого участка требованиям к их предельным размерам.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п. 28 ч. 1 ст. 26 Закона 218-ФЗ осуществление государственного кадастрового учета и (или) государственной регистрации прав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приостанавливается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решению государственного регистратора прав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/>
        <w:t xml:space="preserve">в случае, если размер образуемого земельного участка или земельного участка, который в результате преобразования сохраняется в измененных границах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(измененный земельный участок),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будет соответствовать установленным в соответствии с федеральным </w:t>
      </w:r>
      <w:hyperlink r:id="rId12" w:tooltip="https://www.consultant.ru/document/cons_doc_LAW_182661/f10dc2166d2e834a0086658226e2f96fb5f1cb5f/" w:history="1">
        <w:r>
          <w:rPr>
            <w:rStyle w:val="689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singl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требованиям к предельным (минимальным или максимальным) размерам земельных участков, за исключением случаев, предусмотренных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законом. В том числе, не допускается образование двух и более земельных участков путем раздела, в результате которого хотя бы один из участков не будет соответствовать установленным требованиям (проще говоря, получится меньше минимума или больше максимума)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Отдельно хотелось бы отметить земли сельскохозяйственного назначения, используемые для сельхоз/производства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Алтайском крае минимальный размер образуемых новых земельных 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стков из земель сельскохозяйственного назначения составляет 2,5 га согласно статье 2 Закона Алтайского края от 14 марта 2003 года №8-ЗС «О регулировании отдельных отношений в области оборота земель сельскохозяйственного назначения», исключение составляют: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т.е.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когда требования о минимальном размере участка не применяются: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Выдел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емельного участка в счёт доли (долей) в праве общей собственности на земельный участок для ведения личного подсобного хозяйства или осуществления деятельности крестьянского (фермерского) хозяйства, если их основной деятельностью является садоводство, овоще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водство, цветоводство, виноградарство, семеноводство, птицеводство, пчеловодство, товарное рыбоводство или другая деятельность в целях производства сельскохозяйственной продукции по технологии, допускающей использование земельных участков меньших размеров.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Образование земельных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частков в целях их изъятия для государственных или муниципальных нужд и (или) последующего изменения целевого назначения земель на основании документов территориального планирования, документации по планировке территории и землеустроительной документации.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Тем не менение имеются случаи предоставления межевых планов, где происходит преобразование земельного участка, путем раздела, когда один из участков, по площади не соответствует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установленным в федеральным </w:t>
      </w:r>
      <w:hyperlink r:id="rId13" w:tooltip="https://www.consultant.ru/document/cons_doc_LAW_182661/f10dc2166d2e834a0086658226e2f96fb5f1cb5f/" w:history="1">
        <w:r>
          <w:rPr>
            <w:rStyle w:val="689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singl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требованиям к предельным (минимальным или максимальным) размерам земельных участков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0"/>
        <w:jc w:val="both"/>
        <w:spacing w:line="56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Вернемся к пересечению с территориальными зонами, так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согласно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п. 7 ст. 11.9 ЗК РФ не допускается образование земельного участка, границы которого пересекают границы территориальных зон. В соответствии с п. 2 ст. 85 ЗК РФ, ч. 4 ст. 30 ГрК РФ границы территор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иальных зон должны отвечать требованиям принадлежности каждого земельного участка только к одной территориальной зоне, за исключением установленных федеральным законом случаев, когда границы земельных участков могут пересекать границы территориальных зон. 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1134"/>
        <w:jc w:val="both"/>
        <w:spacing w:line="56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установления территориальных зон установлен ст. 34 Градостроительного Кодекса РФ. Правила землепользования и застройки являются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радостроительным документом, который утверждается нормативными правовыми актами органов местного самоуправления и органов государственной власти субъектов Российской Федерации. Границы территориальных зон устанавливаются на карте градостроительного зониров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ания и включают зоны различного функционального назначения, </w:t>
        <w:br/>
        <w:t xml:space="preserve">а также кодовые обозначения таких зон. При принятии решений об утверждении (либо изменении) правил землепользования и застройки органы местного самоуправления обязаны направить в Роскадастр необх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одимые документы для внесения в ЕГРН границ территориальных зон </w:t>
        <w:br/>
        <w:t xml:space="preserve">с установленными градостроительными регламентами. До момента внесения этих сведений в ЕГРН орган регистрации руководствуется теми данными, которые актуальны и содержаться в настоящий момент,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поэтому еще раз акцентирую Ваше внимание, что мотивировка, « администрация уже поменяла, не исправит ситуацию, если изменения не внесены в ЕГРН.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1134"/>
        <w:jc w:val="both"/>
        <w:spacing w:line="56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 же оши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бкой будет являться ситуация, когда образуемый </w:t>
        <w:br/>
        <w:t xml:space="preserve">на основании утвержденной схемы расположения земельного участка </w:t>
        <w:br/>
        <w:t xml:space="preserve">на кадастровом плане территории из земель, государственная собственность на которые на разграничена, земельный участок пересекает границы насел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енного пункта или территориальной зоны. Кадастровому инженеру </w:t>
        <w:br/>
        <w:t xml:space="preserve">и заявителю (органу местного самоуправления) направляются замечания. </w:t>
        <w:br/>
        <w:t xml:space="preserve">И после исправления замечаний оказывается, что пересечения устранены, </w:t>
        <w:br/>
        <w:t xml:space="preserve">но явно поменялась конфигурация ЗУ, однако изменения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схему расположения НЕ ВНЕСЕНЫ. В связи с этим напоминаю, что в случае внесения изменений в сведения ЕГРН о площади и местоположении границ земельного участка, образованного в соответствии со схемой, в связи </w:t>
        <w:br/>
        <w:t xml:space="preserve">с исправлением реестровой ошибки на основании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редставленного заинтересованным лицом межевого плана обоснованием возможности внесения таких изменений может являться приложенная к межевому плану письменного согласия уполномоченного органа, ранее утвердившего Схему, на внесение соответствующих изменений.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Особое внимание хотелось бы обратить на исполнение требований установленных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Приказом № П/0328/24,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именно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внесены изменения </w:t>
        <w:br/>
        <w:t xml:space="preserve">в форму карты-плана территории, межевого плана и технического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плана, </w:t>
        <w:br/>
        <w:t xml:space="preserve">а также в требования к их подготовке. Изменения касаются порядка указания в формах данных документов сведений об адресах объектов недвижимости, </w:t>
        <w:br/>
        <w:t xml:space="preserve">в отношении которых документы готовятся. В частности, необходимо обратить внимание на следующие моменты: 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сведения об адресе объекта недвижимости внесены в Государственный адресный реестр, в форме подготавливаемого документа указывается уникальный номер адреса объекта адресации в ГАР, присвоенный 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порядком ведения ГАР, утвержденным на основании п. 3 ч. 2 ст. 5 Федерального закона от 28.12.2013 № 443-ФЗ </w:t>
        <w:br/>
        <w:t xml:space="preserve">«О федеральной информационной адресной системе и о внесении изменений в Федеральный закон «Об общих принципах организации местного самоуправления»;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адрес присвоен объекту недвижимости до вступления </w:t>
        <w:br/>
        <w:t xml:space="preserve">в силу Постановления Правительства 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19.11.2014 № 1221 </w:t>
        <w:br/>
        <w:t xml:space="preserve">«Об утверждении Правил присвоения, изменения и аннулирования адресов» на основании акта органа государственной власти или органа местного самоуправления, уполномоченных на присвоение адресов объектам недвижимости, и сведения о таком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адресе отсутствуют в ГАР, допускается указание сведений о таком адресе в структурированном в соответствии </w:t>
        <w:br/>
        <w:t xml:space="preserve">с п. п. 44-50 Правил присвоения, изменения и аннулирования адресов виде. Копия документа, подтверждающая присвоение адреса, включается </w:t>
        <w:br/>
        <w:t xml:space="preserve">в приложение;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в ГАР отсутствует адрес объекта недвижимости, прис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военный в порядке, установленном Постановлением № 1221, </w:t>
        <w:br/>
        <w:t xml:space="preserve">и отсутствует акт уполномоченного органа на присвоение адреса в порядке, установленном до вступления в силу Постановления № 1221, кадастровый инженер обращается в уполномоченный орган в целях присвоен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адреса </w:t>
        <w:br/>
        <w:t xml:space="preserve">в порядке п. 29 Правил присвоения, изменения и аннулирования адресов. После чего, уникальный идентификатор адреса, присвоенный в результате обращения кадастрового инженера в уполномоченный орган, указывается </w:t>
        <w:br/>
        <w:t xml:space="preserve">в форме подготавливаемого документа.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Исключения составляют объекты недвижимости, не являющиеся объектами адресации, в частности: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лесные участки, 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земельные участки, расположенные в границах территории ведения гражданами садоводства или огородничества для собственных нужд, </w:t>
        <w:br/>
        <w:t xml:space="preserve">в границах территории гаражного назначения. 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заполнения сведений об ином месте нахождения объекта недвижимости в случаях, когда объект недвижимости не является объектом адресации, не претерпел значительных изменений с правовой точки зрения.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 № П/0328/24 вступил в силу с 01.02.2026. 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 же был установлен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переходный период для применения данного нормативного правового акта – до 15.03.2026,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настоящий момент </w:t>
        <w:br/>
        <w:t xml:space="preserve">не допускается постановка на кадастровый учет объектов без ГАР, </w:t>
        <w:br/>
        <w:t xml:space="preserve">в соответствии с п. </w:t>
      </w:r>
      <w:r>
        <w:rPr>
          <w:rFonts w:ascii="Times New Roman" w:hAnsi="Times New Roman" w:eastAsia="Times New Roman" w:cs="Times New Roman"/>
          <w:color w:val="000000"/>
          <w:sz w:val="24"/>
          <w:szCs w:val="28"/>
        </w:rPr>
        <w:t xml:space="preserve">7 части 1 статьи 26 Федерального закона от 13.07.2015 N 218-ФЗ</w:t>
        <w:br/>
        <w:t xml:space="preserve"> "О государственной регистрации недвижимости" (далее - Закон N 218-ФЗ) 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Поэтому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бращаю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еще 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внимание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на законодательное закрепление обязанности кадастрового инженера по обращению в орган, уполномоченный на присвоение адресов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(для случаев, когда в ГАР отсутствует адрес объекта недвижимости, присвоенный в порядке, установленном Постановлением </w:t>
        <w:br/>
        <w:t xml:space="preserve">№ 1221, и отсутствует акт уполномоченного органа на присвоение адреса </w:t>
        <w:br/>
        <w:t xml:space="preserve">в порядке, установленном до вступления в силу Постановления №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221), поскольку в случае неисполнения данного требования законодательства  осуществление учетно-регистрационных действий по таким пакетам документов подлежит приостановлению на основании п. 7 ч. 1 ст. 26 Федерального закона от 13.07.2025 № 218-ФЗ «О госу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дарственной регистрации недвижимости» (форма и (или) содержание документа, представленного для осуществления государственного кадастрового учета </w:t>
        <w:br/>
        <w:t xml:space="preserve">и (или) государственной регистрации прав, не соответствуют требованиям законодательства Российской Федерации).</w:t>
      </w:r>
      <w:r>
        <w:rPr>
          <w:rFonts w:ascii="Times New Roman" w:hAnsi="Times New Roman" w:cs="Times New Roman"/>
          <w:szCs w:val="28"/>
        </w:rPr>
      </w:r>
    </w:p>
    <w:p>
      <w:pPr>
        <w:pStyle w:val="663"/>
        <w:ind w:left="0" w:right="0" w:firstLine="567"/>
        <w:jc w:val="both"/>
        <w:spacing w:before="0" w:after="102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Спасибо за внимание и сотрудничество!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Mangal">
    <w:panose1 w:val="02040503050306020203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  <w:p>
    <w:pPr>
      <w:pStyle w:val="7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</w:pPr>
    <w:r>
      <w:rPr>
        <w:highlight w:val="none"/>
      </w:rPr>
    </w:r>
    <w:r>
      <w:rPr>
        <w:highlight w:val="none"/>
      </w:rPr>
    </w:r>
  </w:p>
  <w:p>
    <w:pPr>
      <w:pStyle w:val="707"/>
      <w:jc w:val="center"/>
      <w:rPr>
        <w:highlight w:val="none"/>
      </w:rPr>
    </w:pPr>
    <w:r/>
    <w:r/>
  </w:p>
  <w:p>
    <w:pPr>
      <w:pStyle w:val="7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63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64">
    <w:name w:val="Heading 1"/>
    <w:basedOn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4">
    <w:name w:val="Heading 2 Char"/>
    <w:uiPriority w:val="9"/>
    <w:qFormat/>
    <w:rPr>
      <w:rFonts w:ascii="Arial" w:hAnsi="Arial" w:eastAsia="Arial" w:cs="Arial"/>
      <w:sz w:val="34"/>
    </w:rPr>
  </w:style>
  <w:style w:type="character" w:styleId="67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uiPriority w:val="10"/>
    <w:qFormat/>
    <w:rPr>
      <w:sz w:val="48"/>
      <w:szCs w:val="48"/>
    </w:rPr>
  </w:style>
  <w:style w:type="character" w:styleId="683">
    <w:name w:val="Subtitle Char"/>
    <w:uiPriority w:val="11"/>
    <w:qFormat/>
    <w:rPr>
      <w:sz w:val="24"/>
      <w:szCs w:val="24"/>
    </w:rPr>
  </w:style>
  <w:style w:type="character" w:styleId="684">
    <w:name w:val="Quote Char"/>
    <w:uiPriority w:val="29"/>
    <w:qFormat/>
    <w:rPr>
      <w:i/>
    </w:rPr>
  </w:style>
  <w:style w:type="character" w:styleId="685">
    <w:name w:val="Intense Quote Char"/>
    <w:uiPriority w:val="30"/>
    <w:qFormat/>
    <w:rPr>
      <w:i/>
    </w:rPr>
  </w:style>
  <w:style w:type="character" w:styleId="686">
    <w:name w:val="Header Char"/>
    <w:uiPriority w:val="99"/>
    <w:qFormat/>
  </w:style>
  <w:style w:type="character" w:styleId="687">
    <w:name w:val="Footer Char"/>
    <w:uiPriority w:val="99"/>
    <w:qFormat/>
  </w:style>
  <w:style w:type="character" w:styleId="688">
    <w:name w:val="Caption Char"/>
    <w:uiPriority w:val="99"/>
    <w:qFormat/>
  </w:style>
  <w:style w:type="character" w:styleId="689">
    <w:name w:val="Hyperlink"/>
    <w:uiPriority w:val="99"/>
    <w:unhideWhenUsed/>
    <w:rPr>
      <w:color w:val="0000ff" w:themeColor="hyperlink"/>
      <w:u w:val="single"/>
    </w:rPr>
  </w:style>
  <w:style w:type="character" w:styleId="690">
    <w:name w:val="Footnote Text Char"/>
    <w:uiPriority w:val="99"/>
    <w:qFormat/>
    <w:rPr>
      <w:sz w:val="18"/>
    </w:rPr>
  </w:style>
  <w:style w:type="character" w:styleId="691">
    <w:name w:val="Символ сноски"/>
    <w:uiPriority w:val="99"/>
    <w:unhideWhenUsed/>
    <w:qFormat/>
    <w:rPr>
      <w:vertAlign w:val="superscript"/>
    </w:rPr>
  </w:style>
  <w:style w:type="character" w:styleId="692">
    <w:name w:val="footnote reference"/>
    <w:rPr>
      <w:vertAlign w:val="superscript"/>
    </w:rPr>
  </w:style>
  <w:style w:type="character" w:styleId="693">
    <w:name w:val="Endnote Text Char"/>
    <w:uiPriority w:val="99"/>
    <w:qFormat/>
    <w:rPr>
      <w:sz w:val="20"/>
    </w:rPr>
  </w:style>
  <w:style w:type="character" w:styleId="69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5">
    <w:name w:val="endnote reference"/>
    <w:rPr>
      <w:vertAlign w:val="superscript"/>
    </w:rPr>
  </w:style>
  <w:style w:type="character" w:styleId="696" w:default="1">
    <w:name w:val="Default Paragraph Font"/>
    <w:uiPriority w:val="1"/>
    <w:semiHidden/>
    <w:unhideWhenUsed/>
    <w:qFormat/>
  </w:style>
  <w:style w:type="paragraph" w:styleId="697">
    <w:name w:val="Заголовок"/>
    <w:basedOn w:val="663"/>
    <w:next w:val="698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698">
    <w:name w:val="Body Text"/>
    <w:basedOn w:val="663"/>
    <w:pPr>
      <w:spacing w:before="0" w:after="140" w:line="276" w:lineRule="auto"/>
    </w:pPr>
  </w:style>
  <w:style w:type="paragraph" w:styleId="699">
    <w:name w:val="List"/>
    <w:basedOn w:val="698"/>
    <w:rPr>
      <w:rFonts w:ascii="PT Astra Serif" w:hAnsi="PT Astra Serif" w:cs="Mangal"/>
    </w:rPr>
  </w:style>
  <w:style w:type="paragraph" w:styleId="700">
    <w:name w:val="Caption"/>
    <w:basedOn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1">
    <w:name w:val="Указатель"/>
    <w:basedOn w:val="663"/>
    <w:qFormat/>
    <w:pPr>
      <w:suppressLineNumbers/>
    </w:pPr>
    <w:rPr>
      <w:rFonts w:ascii="PT Astra Serif" w:hAnsi="PT Astra Serif" w:cs="Mangal"/>
    </w:rPr>
  </w:style>
  <w:style w:type="paragraph" w:styleId="702">
    <w:name w:val="Title"/>
    <w:basedOn w:val="66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63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63"/>
    <w:uiPriority w:val="29"/>
    <w:qFormat/>
    <w:pPr>
      <w:ind w:left="720" w:right="720"/>
    </w:pPr>
    <w:rPr>
      <w:i/>
    </w:rPr>
  </w:style>
  <w:style w:type="paragraph" w:styleId="705">
    <w:name w:val="Intense Quote"/>
    <w:basedOn w:val="663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Header and Footer"/>
    <w:basedOn w:val="663"/>
    <w:qFormat/>
  </w:style>
  <w:style w:type="paragraph" w:styleId="707">
    <w:name w:val="Header"/>
    <w:basedOn w:val="66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6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6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6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63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63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63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63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63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63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63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63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63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7"/>
  </w:style>
  <w:style w:type="paragraph" w:styleId="721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63"/>
    <w:uiPriority w:val="99"/>
    <w:unhideWhenUsed/>
    <w:pPr>
      <w:spacing w:before="0" w:after="0" w:afterAutospacing="0"/>
    </w:pPr>
  </w:style>
  <w:style w:type="paragraph" w:styleId="723">
    <w:name w:val="No Spacing"/>
    <w:basedOn w:val="663"/>
    <w:uiPriority w:val="1"/>
    <w:qFormat/>
    <w:pPr>
      <w:spacing w:before="0" w:after="0" w:line="240" w:lineRule="auto"/>
    </w:pPr>
  </w:style>
  <w:style w:type="paragraph" w:styleId="724">
    <w:name w:val="List Paragraph"/>
    <w:basedOn w:val="663"/>
    <w:uiPriority w:val="34"/>
    <w:qFormat/>
    <w:pPr>
      <w:contextualSpacing/>
      <w:ind w:left="720"/>
      <w:spacing w:before="0" w:after="200"/>
    </w:pPr>
  </w:style>
  <w:style w:type="numbering" w:styleId="725" w:default="1">
    <w:name w:val="Без списка"/>
    <w:uiPriority w:val="99"/>
    <w:semiHidden/>
    <w:unhideWhenUsed/>
    <w:qFormat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hyperlink" Target="https://www.consultant.ru/document/cons_doc_LAW_182661/f10dc2166d2e834a0086658226e2f96fb5f1cb5f/" TargetMode="External"/><Relationship Id="rId13" Type="http://schemas.openxmlformats.org/officeDocument/2006/relationships/hyperlink" Target="https://www.consultant.ru/document/cons_doc_LAW_182661/f10dc2166d2e834a0086658226e2f96fb5f1cb5f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</cp:revision>
  <dcterms:modified xsi:type="dcterms:W3CDTF">2026-06-26T08:08:55Z</dcterms:modified>
</cp:coreProperties>
</file>