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0"/>
        <w:ind w:left="0" w:right="0" w:firstLine="0"/>
        <w:jc w:val="right"/>
        <w:spacing w:before="0" w:after="0" w:afterAutospacing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Доклад</w:t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830"/>
        <w:ind w:left="0" w:right="0" w:firstLine="0"/>
        <w:jc w:val="right"/>
        <w:spacing w:before="0" w:after="0" w:afterAutospacing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начальника отдела </w:t>
      </w:r>
      <w:r>
        <w:rPr>
          <w:rFonts w:ascii="Times New Roman" w:hAnsi="Times New Roman" w:cs="Times New Roman"/>
          <w:szCs w:val="28"/>
        </w:rPr>
      </w:r>
    </w:p>
    <w:p>
      <w:pPr>
        <w:pStyle w:val="830"/>
        <w:ind w:left="0" w:right="0" w:firstLine="0"/>
        <w:jc w:val="right"/>
        <w:spacing w:before="0" w:after="0" w:afterAutospacing="0" w:line="240" w:lineRule="auto"/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правового обеспечения</w:t>
      </w:r>
      <w:r>
        <w:rPr>
          <w:rFonts w:ascii="Times New Roman" w:hAnsi="Times New Roman" w:cs="Times New Roman"/>
          <w:szCs w:val="28"/>
        </w:rPr>
      </w:r>
    </w:p>
    <w:p>
      <w:pPr>
        <w:ind w:left="0" w:right="0" w:firstLine="0"/>
        <w:jc w:val="right"/>
        <w:spacing w:before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Управления Росреестра по Алтайскому краю</w:t>
      </w:r>
      <w:r>
        <w:rPr>
          <w:rFonts w:ascii="Times New Roman" w:hAnsi="Times New Roman" w:cs="Times New Roman"/>
          <w:szCs w:val="28"/>
        </w:rPr>
      </w:r>
      <w:r/>
    </w:p>
    <w:p>
      <w:pPr>
        <w:pStyle w:val="830"/>
        <w:ind w:left="0" w:right="0" w:firstLine="0"/>
        <w:jc w:val="right"/>
        <w:spacing w:before="0" w:after="0" w:afterAutospacing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Майдуровой И.С.</w:t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jc w:val="righ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ДОКЛАД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Тема доклада: О мнении АСО «Объединение профессиональной кадастровой деятельности»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Управление Федеральной службы государс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твенной регистрации, кадастра и картографии по Алтайскому краю поступило заявление </w:t>
        <w:br/>
        <w:t xml:space="preserve">о постановке на государственный кадастровый учет и государственную регистрацию прав в связи с образованием объекта недвижимости – б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лока жилого дома блокированной застройки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Вместе с заявлением в качестве документа-основания представлен технический план подготовленный </w:t>
        <w:br/>
        <w:t xml:space="preserve">в результате выполнения  кадастровых работ в связи с: образованием одного блока жилого дома блокированной застройки.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ходе проведения правой экспертизы были выявлены противоречия ме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жду заявленными правами и уже зарегистрированными правами. В следствие,  объект который заявитель просит поставить на кадастровый учет и зарегистрировать права уже поставлен на государственный учет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под видом помещения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 права на него уже зарегистрированы.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Согласно п. 40 ст. 1 Градостроительного ко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декса Российской Федерации домом блокированной застройки является жилой дом, блокированный </w:t>
        <w:br/>
        <w:t xml:space="preserve">с другим жилым домом (другими жилыми домами) в одном ряду общей боковой стеной (общими боковыми стенами) без проемов и имеющий отдельный выход на земельный участок.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огласно Федеральному закону от 13 июля 2015 года № 218‑ФЗ </w:t>
        <w:br/>
        <w:t xml:space="preserve">«О государственной регистрации недвижимости» (далее - Закон № 218‑ФЗ), технический план должен содержать достоверные сведения об объекте. В данном случае план не отражает реального статуса объекта,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что делает его недостоверным.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Кадастровому инженеру следовало отказаться от подготовки технического плана, сославшись на требование пункта 4 части 2 стать 29.1 ФЗ от 24.07.2007г. №221-ФЗ «О кадастровой деятельности».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Управление Федеральной службы государс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твенной регистрации, кадастра и картографии по Алтайскому краю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направило информацию Генеральному директору Ассоциации саморегулируемой организации  «Объединение кадастровой деятельности» (Ассоциация СРО «ОПКД»)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  <w:br/>
        <w:t xml:space="preserve">о нарушениях, допущенных кадастровым инженером.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ссоциацией было сформулировано мнение в отношении изложенного. Таким образом,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случае выявления каких-либо спорных ситуаций кадастровые инженеры обязаны предоставлять заказчикам кадастровых работ бумажные версии межевых и технических пл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анов для «обращения  в суд», или принятия досудебных решений по разрешению спорных ситуаций. И только после решения всех спорных вопросов, препятствующих ГКУ, выдавать заказчикам кадастровых работ итоговую электронную версию межевых или технических планов.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0"/>
      <w:jc w:val="center"/>
    </w:pPr>
    <w:fldSimple w:instr="PAGE \* MERGEFORMAT">
      <w:r>
        <w:t xml:space="preserve">1</w:t>
      </w:r>
    </w:fldSimple>
    <w:r/>
    <w:r/>
  </w:p>
  <w:p>
    <w:pPr>
      <w:pStyle w:val="680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dcterms:modified xsi:type="dcterms:W3CDTF">2026-06-26T08:13:12Z</dcterms:modified>
</cp:coreProperties>
</file>