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Style w:val="744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4252"/>
        <w:gridCol w:w="5103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52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103" w:type="dxa"/>
            <w:vAlign w:val="top"/>
            <w:textDirection w:val="lrTb"/>
            <w:noWrap w:val="false"/>
          </w:tcPr>
          <w:p>
            <w:pPr>
              <w:ind w:left="720" w:right="0" w:firstLine="0"/>
              <w:jc w:val="right"/>
              <w:spacing w:after="0" w:line="288" w:lineRule="atLeas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Доклад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</w:p>
          <w:p>
            <w:pPr>
              <w:ind w:left="720" w:right="0" w:firstLine="0"/>
              <w:jc w:val="right"/>
              <w:spacing w:after="0" w:line="288" w:lineRule="atLeas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государственного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регистратора прав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</w:p>
          <w:p>
            <w:pPr>
              <w:ind w:left="720" w:right="0" w:firstLine="0"/>
              <w:jc w:val="right"/>
              <w:spacing w:after="0" w:line="288" w:lineRule="atLeast"/>
              <w:rPr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отдела государственной регистрации недвижимости № 1 </w:t>
              <w:br/>
              <w:t xml:space="preserve">Управления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Росреестра </w:t>
              <w:br/>
              <w:t xml:space="preserve">по Алтайскому краю</w:t>
            </w:r>
            <w:r>
              <w:rPr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</w:p>
          <w:p>
            <w:pPr>
              <w:ind w:left="720" w:right="0" w:firstLine="0"/>
              <w:jc w:val="right"/>
              <w:spacing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Берилло С.Н.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spacing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spacing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шибки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кадастровы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х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инженер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допускаемые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при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подготовке межевых и технических планов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</w:r>
    </w:p>
    <w:p>
      <w:pPr>
        <w:pStyle w:val="903"/>
        <w:jc w:val="both"/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</w:r>
    </w:p>
    <w:p>
      <w:pPr>
        <w:pStyle w:val="903"/>
        <w:jc w:val="center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  <w:u w:val="none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u w:val="none"/>
        </w:rPr>
        <w:t xml:space="preserve"> Об изменении сведений в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u w:val="none"/>
          <w:lang w:val="ru-RU"/>
        </w:rPr>
        <w:t xml:space="preserve">ЕГРН о площади и местоположении границ земельного участка, образованного в соответствии со Схемой, в связи с исправлением реестровой ошибки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none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  <w:u w:val="none"/>
        </w:rPr>
      </w:r>
    </w:p>
    <w:p>
      <w:pPr>
        <w:pStyle w:val="903"/>
        <w:jc w:val="both"/>
        <w:rPr>
          <w:rFonts w:ascii="Times New Roman" w:hAnsi="Times New Roman" w:eastAsia="Times New Roman" w:cs="Times New Roman"/>
          <w:b/>
          <w:bCs/>
          <w:sz w:val="28"/>
          <w:szCs w:val="28"/>
          <w:u w:val="non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u w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u w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u w:val="none"/>
        </w:rPr>
      </w:r>
    </w:p>
    <w:p>
      <w:pPr>
        <w:pStyle w:val="903"/>
        <w:ind w:firstLine="708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u w:val="none"/>
        </w:rPr>
      </w:pPr>
      <w:r>
        <w:rPr>
          <w:rFonts w:ascii="Times New Roman" w:hAnsi="Times New Roman" w:eastAsia="Times New Roman" w:cs="Times New Roman"/>
          <w:sz w:val="28"/>
          <w:szCs w:val="28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u w:val="none"/>
        </w:rPr>
        <w:t xml:space="preserve">Согласно п. 1 ст. 11.3 Земельного кодекса о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u w:val="none"/>
        </w:rPr>
        <w:t xml:space="preserve">бразование земельных участков из земель или земельных участков, находящихся в государственной или муниципальной собственности, осуществляется в том числе и на основании утвержденной схемы расположения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u w:val="none"/>
        </w:rPr>
        <w:t xml:space="preserve">земельного участка или земельных участков на кадастровом плане территории.</w:t>
      </w:r>
      <w:r>
        <w:rPr>
          <w:u w:val="none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u w:val="none"/>
        </w:rPr>
      </w:r>
    </w:p>
    <w:p>
      <w:pPr>
        <w:pStyle w:val="903"/>
        <w:ind w:firstLine="708"/>
        <w:jc w:val="both"/>
        <w:spacing w:after="0" w:afterAutospacing="0" w:line="240" w:lineRule="auto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u w:val="none"/>
          <w:lang w:val="ru-RU"/>
        </w:rPr>
        <w:t xml:space="preserve">Положения Земельного кодекса Российской Федерации предусматривают возможность внесения изменений в документы, </w:t>
        <w:br/>
        <w:t xml:space="preserve">в соответствии с которыми о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u w:val="none"/>
          <w:lang w:val="ru-RU"/>
        </w:rPr>
        <w:t xml:space="preserve">с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u w:val="none"/>
          <w:lang w:val="ru-RU"/>
        </w:rPr>
        <w:t xml:space="preserve">уществляется  образование  земельного  участка,  до  осуществления государственного кадастрового учета такого земельного участка (пункт 8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u w:val="none"/>
          <w:lang w:val="ru-RU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u w:val="none"/>
          <w:lang w:val="ru-RU"/>
        </w:rPr>
        <w:t xml:space="preserve">статьи 11.9 Земельного кодекса Российской Федерации). 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u w:val="none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u w:val="none"/>
        </w:rPr>
      </w:r>
    </w:p>
    <w:p>
      <w:pPr>
        <w:pStyle w:val="903"/>
        <w:ind w:firstLine="708"/>
        <w:jc w:val="both"/>
        <w:rPr>
          <w:rFonts w:ascii="Times New Roman" w:hAnsi="Times New Roman" w:cs="Times New Roman"/>
          <w:color w:val="000000" w:themeColor="text1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u w:val="none"/>
          <w:lang w:val="ru-RU"/>
        </w:rPr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u w:val="none"/>
          <w:lang w:val="ru-RU"/>
        </w:rPr>
        <w:t xml:space="preserve">В случае осуществления государственного кадастрового учета и (или) государственной регистрации прав (ограничений прав) в отношении земельного участка, образованного в соответствии со Схемой, решение об 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u w:val="none"/>
          <w:lang w:val="ru-RU"/>
        </w:rPr>
        <w:t xml:space="preserve">утвер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u w:val="none"/>
          <w:lang w:val="ru-RU"/>
        </w:rPr>
        <w:t xml:space="preserve">ждении Схемы считается исполненным, и внесение изменений в такое решение не допускается. </w:t>
      </w:r>
      <w:r>
        <w:rPr>
          <w:rFonts w:ascii="Times New Roman" w:hAnsi="Times New Roman" w:cs="Times New Roman"/>
          <w:color w:val="000000" w:themeColor="text1"/>
          <w:u w:val="none"/>
        </w:rPr>
      </w:r>
      <w:r>
        <w:rPr>
          <w:rFonts w:ascii="Times New Roman" w:hAnsi="Times New Roman" w:cs="Times New Roman"/>
          <w:color w:val="000000" w:themeColor="text1"/>
          <w:u w:val="none"/>
        </w:rPr>
      </w:r>
    </w:p>
    <w:p>
      <w:pPr>
        <w:pStyle w:val="903"/>
        <w:ind w:firstLine="708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none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u w:val="none"/>
          <w:lang w:val="ru-RU"/>
        </w:rPr>
        <w:t xml:space="preserve">Так, в случае внесения изменений в сведения ЕГРН о площади и местоположении границ земельного участка, образованного в соответствии со Схемой, в связи с исправлением реестровой ошибки на основании представленного заинтересованным лицом меж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u w:val="none"/>
          <w:lang w:val="ru-RU"/>
        </w:rPr>
        <w:t xml:space="preserve">евого плана "обоснованием" возможности внесения таких изменений может являться приложение к межевому плану письменного согласия уполномоченного органа, ранее 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u w:val="none"/>
          <w:lang w:val="ru-RU"/>
        </w:rPr>
        <w:t xml:space="preserve">утвер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u w:val="none"/>
          <w:lang w:val="ru-RU"/>
        </w:rPr>
        <w:t xml:space="preserve">дившего Схему, на внесение соответствующих изменений.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none"/>
          <w:u w:val="none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none"/>
          <w:u w:val="none"/>
        </w:rPr>
      </w:r>
    </w:p>
    <w:p>
      <w:pPr>
        <w:pStyle w:val="903"/>
        <w:jc w:val="center"/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  <w:u w:val="none"/>
        </w:rPr>
        <w:tab/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  <w:u w:val="none"/>
        </w:rPr>
      </w:r>
    </w:p>
    <w:p>
      <w:pPr>
        <w:pStyle w:val="903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  <w:u w:val="none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  <w:u w:val="none"/>
        </w:rPr>
        <w:t xml:space="preserve">О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  <w:u w:val="none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  <w:u w:val="none"/>
        </w:rPr>
        <w:t xml:space="preserve">правильности указания минимальных и максимальных размеров земельных участков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  <w:u w:val="none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  <w:u w:val="none"/>
        </w:rPr>
      </w:r>
    </w:p>
    <w:p>
      <w:pPr>
        <w:pStyle w:val="903"/>
        <w:jc w:val="both"/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  <w:u w:val="none"/>
        </w:rPr>
        <w:tab/>
        <w:t xml:space="preserve">Размеры земельных участков устанавливаются для каждого вида разрешенного использования, градостроительными регламентами, которые являются частью правил землепользования и застройки.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  <w:u w:val="none"/>
        </w:rPr>
      </w:r>
    </w:p>
    <w:p>
      <w:pPr>
        <w:pStyle w:val="903"/>
        <w:ind w:firstLine="708"/>
        <w:jc w:val="both"/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  <w:u w:val="none"/>
        </w:rPr>
        <w:t xml:space="preserve">Многие кадастровые инженеры, предельные минимальные и максимальные размеры указывают в заключении, хотя с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  <w:u w:val="none"/>
        </w:rPr>
        <w:t xml:space="preserve">огласно п.53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pacing w:val="-4"/>
          <w:sz w:val="28"/>
          <w:szCs w:val="28"/>
          <w:highlight w:val="none"/>
          <w:u w:val="none"/>
        </w:rPr>
        <w:t xml:space="preserve">Приказа Росреестра от 14.12.2021 N П/0592 "Об утверждении формы и состава сведений межевого плана, требований к его подготовке" 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pacing w:val="-4"/>
          <w:sz w:val="28"/>
          <w:szCs w:val="28"/>
          <w:highlight w:val="none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pacing w:val="-4"/>
          <w:sz w:val="28"/>
          <w:szCs w:val="28"/>
          <w:highlight w:val="none"/>
          <w:u w:val="none"/>
        </w:rPr>
        <w:t xml:space="preserve">п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u w:val="none"/>
        </w:rPr>
        <w:t xml:space="preserve">редельные минимальный и максимальный размеры, соответствующие виду разрешенного использования земельного участка указываются в графе "3"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u w:val="none"/>
        </w:rPr>
        <w:t xml:space="preserve">строки "9"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u w:val="none"/>
        </w:rPr>
        <w:t xml:space="preserve"> реквизита "4" раздела "Сведения об образуемых земельных участках" и в графе "3"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u w:val="none"/>
        </w:rPr>
        <w:t xml:space="preserve">строки "5"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u w:val="none"/>
        </w:rPr>
        <w:t xml:space="preserve"> реквизита "3" раздела "Сведения об уточняемых земельных участках" на основании документов, устанавливающих такие размеры в соответствии с законодательством РФ. 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u w:val="none"/>
        </w:rPr>
      </w:r>
    </w:p>
    <w:p>
      <w:pPr>
        <w:pStyle w:val="903"/>
        <w:ind w:firstLine="708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none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u w:val="none"/>
        </w:rPr>
        <w:t xml:space="preserve">В случае если законом субъекта Российской Федерации не установлен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u w:val="none"/>
        </w:rPr>
        <w:t xml:space="preserve"> конкретный предельный максимальный размер земельных участков из земель сельскохозяйственного назначения, в соответствующих реквизитах разделов межевого плана может быть указан только минимальный размер таких земельных участков.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none"/>
          <w:u w:val="none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none"/>
          <w:u w:val="none"/>
        </w:rPr>
      </w:r>
    </w:p>
    <w:p>
      <w:pPr>
        <w:pStyle w:val="903"/>
        <w:jc w:val="center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u w:val="none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u w:val="none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u w:val="none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u w:val="none"/>
        </w:rPr>
      </w:r>
    </w:p>
    <w:p>
      <w:pPr>
        <w:pStyle w:val="903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none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  <w:u w:val="none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u w:val="none"/>
        </w:rPr>
        <w:t xml:space="preserve">Образование многоконтурного земельного участка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none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none"/>
        </w:rPr>
      </w:r>
    </w:p>
    <w:p>
      <w:pPr>
        <w:pStyle w:val="903"/>
        <w:ind w:firstLine="708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none"/>
          <w:u w:val="none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u w:val="none"/>
        </w:rPr>
        <w:t xml:space="preserve">До сих пор для постановки на кадастровый учет поступают </w:t>
        <w:br/>
        <w:t xml:space="preserve"> межевые  планы  подготовленные в связи с образованием многоконтурного земельного участка.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none"/>
          <w:u w:val="none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none"/>
          <w:u w:val="none"/>
        </w:rPr>
      </w:r>
    </w:p>
    <w:p>
      <w:pPr>
        <w:pStyle w:val="903"/>
        <w:ind w:firstLine="708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u w:val="none"/>
        </w:rPr>
        <w:t xml:space="preserve">Порядок образования земельных участков регулируется Главой I.1 Земельного Кодекса.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u w:val="none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u w:val="none"/>
        </w:rPr>
      </w:r>
    </w:p>
    <w:p>
      <w:pPr>
        <w:pStyle w:val="903"/>
        <w:ind w:firstLine="708"/>
        <w:jc w:val="both"/>
        <w:rPr>
          <w:rFonts w:ascii="Times New Roman" w:hAnsi="Times New Roman" w:cs="Times New Roman"/>
          <w:b w:val="0"/>
          <w:bCs w:val="0"/>
          <w:color w:val="000000" w:themeColor="text1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u w:val="none"/>
        </w:rPr>
        <w:t xml:space="preserve">В соответствии с пунктом 1 статьи 11.2 Земельного кодекса РФ земельные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u w:val="none"/>
        </w:rPr>
        <w:t xml:space="preserve">участки образуются при разделе, объединении, перераспределении земельных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u w:val="none"/>
        </w:rPr>
        <w:t xml:space="preserve">участков или выделе из земельных участков, а также из земель, находящихся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u w:val="none"/>
        </w:rPr>
        <w:t xml:space="preserve">в государственной или муниципальной собственности.</w:t>
      </w:r>
      <w:r>
        <w:rPr>
          <w:rFonts w:ascii="Times New Roman" w:hAnsi="Times New Roman" w:cs="Times New Roman"/>
          <w:b w:val="0"/>
          <w:bCs w:val="0"/>
          <w:color w:val="000000" w:themeColor="text1"/>
          <w:u w:val="none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u w:val="none"/>
        </w:rPr>
      </w:r>
    </w:p>
    <w:p>
      <w:pPr>
        <w:pStyle w:val="903"/>
        <w:ind w:firstLine="708"/>
        <w:jc w:val="both"/>
        <w:rPr>
          <w:rFonts w:ascii="Times New Roman" w:hAnsi="Times New Roman" w:cs="Times New Roman"/>
          <w:b w:val="0"/>
          <w:bCs w:val="0"/>
          <w:color w:val="000000" w:themeColor="text1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u w:val="none"/>
        </w:rPr>
        <w:t xml:space="preserve">Не допускается образование земельных участков, если их образование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u w:val="none"/>
        </w:rPr>
        <w:t xml:space="preserve">приводит к невозможности разрешенного использования расположенных на таких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u w:val="none"/>
        </w:rPr>
        <w:t xml:space="preserve">земельных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u w:val="none"/>
        </w:rPr>
        <w:t xml:space="preserve"> участках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u w:val="none"/>
        </w:rPr>
        <w:t xml:space="preserve"> объектов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u w:val="none"/>
        </w:rPr>
        <w:t xml:space="preserve"> недвижимости.</w:t>
      </w:r>
      <w:r>
        <w:rPr>
          <w:rFonts w:ascii="Times New Roman" w:hAnsi="Times New Roman" w:cs="Times New Roman"/>
          <w:b w:val="0"/>
          <w:bCs w:val="0"/>
          <w:color w:val="000000" w:themeColor="text1"/>
          <w:u w:val="none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u w:val="none"/>
        </w:rPr>
      </w:r>
    </w:p>
    <w:p>
      <w:pPr>
        <w:pStyle w:val="903"/>
        <w:ind w:firstLine="708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u w:val="none"/>
        </w:rPr>
        <w:t xml:space="preserve">Не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u w:val="none"/>
        </w:rPr>
        <w:t xml:space="preserve"> допускается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u w:val="none"/>
        </w:rPr>
        <w:t xml:space="preserve">раздел,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u w:val="none"/>
        </w:rPr>
        <w:t xml:space="preserve">перераспределение или выдел земельных участков, если сохраняемые в отношении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u w:val="none"/>
        </w:rPr>
        <w:t xml:space="preserve">образуемых земельных участков обременения (ограничения) не позволяют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u w:val="none"/>
        </w:rPr>
        <w:t xml:space="preserve">использовать указанные земельные участки в соответствии с разрешенным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u w:val="none"/>
        </w:rPr>
        <w:t xml:space="preserve">использованием.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u w:val="none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u w:val="none"/>
        </w:rPr>
      </w:r>
    </w:p>
    <w:p>
      <w:pPr>
        <w:pStyle w:val="903"/>
        <w:ind w:firstLine="708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u w:val="none"/>
        </w:rPr>
        <w:t xml:space="preserve">Образование земельных участков не должно приводить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u w:val="none"/>
        </w:rPr>
        <w:t xml:space="preserve">к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u w:val="none"/>
        </w:rPr>
        <w:t xml:space="preserve"> вклиниванию,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u w:val="none"/>
        </w:rPr>
        <w:t xml:space="preserve">вкрапливанию,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u w:val="none"/>
        </w:rPr>
        <w:t xml:space="preserve">изломанности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u w:val="none"/>
        </w:rPr>
        <w:t xml:space="preserve">границ,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u w:val="none"/>
        </w:rPr>
        <w:t xml:space="preserve">чересполосице,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u w:val="none"/>
        </w:rPr>
        <w:t xml:space="preserve">невозможности размещения объектов недвижимости и другим препятствующим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u w:val="none"/>
        </w:rPr>
        <w:t xml:space="preserve">рациональному использованию и охране земель недостаткам, а также нарушать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u w:val="none"/>
        </w:rPr>
        <w:t xml:space="preserve">требования, установленные Земельным кодексом РФ, другими федеральными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u w:val="none"/>
        </w:rPr>
        <w:t xml:space="preserve">законами (статья 11.9 Земельного кодекса РФ).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u w:val="none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u w:val="none"/>
        </w:rPr>
      </w:r>
    </w:p>
    <w:p>
      <w:pPr>
        <w:pStyle w:val="903"/>
        <w:ind w:firstLine="708"/>
        <w:jc w:val="both"/>
        <w:rPr>
          <w:rFonts w:ascii="Times New Roman" w:hAnsi="Times New Roman" w:cs="Times New Roman"/>
          <w:b w:val="0"/>
          <w:bCs w:val="0"/>
          <w:color w:val="000000" w:themeColor="text1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u w:val="none"/>
        </w:rPr>
        <w:t xml:space="preserve">В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u w:val="none"/>
        </w:rPr>
        <w:t xml:space="preserve">настоящее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u w:val="none"/>
        </w:rPr>
        <w:t xml:space="preserve">время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u w:val="none"/>
        </w:rPr>
        <w:t xml:space="preserve">федеральным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u w:val="none"/>
        </w:rPr>
        <w:t xml:space="preserve">законодательством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u w:val="none"/>
        </w:rPr>
        <w:t xml:space="preserve">не предусмотрено образование многоконтурных земельных участков из состава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u w:val="none"/>
        </w:rPr>
        <w:t xml:space="preserve">земель различных категорий. </w:t>
      </w:r>
      <w:r>
        <w:rPr>
          <w:rFonts w:ascii="Times New Roman" w:hAnsi="Times New Roman" w:cs="Times New Roman"/>
          <w:b w:val="0"/>
          <w:bCs w:val="0"/>
          <w:color w:val="000000" w:themeColor="text1"/>
          <w:u w:val="none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u w:val="none"/>
        </w:rPr>
      </w:r>
    </w:p>
    <w:p>
      <w:pPr>
        <w:pStyle w:val="903"/>
        <w:ind w:firstLine="708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none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  <w:u w:val="none"/>
        </w:rPr>
        <w:t xml:space="preserve">В соответствии с действующим законодательством  земельные участки, границы которых представляют собой совокупность контуров, не могут быть образованы, следовательно и осуществление учетно-регистрационных действий на основании таких документов не возможно 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none"/>
          <w:u w:val="none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none"/>
          <w:u w:val="none"/>
        </w:rPr>
      </w:r>
    </w:p>
    <w:p>
      <w:pPr>
        <w:pStyle w:val="903"/>
        <w:ind w:firstLine="708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none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u w:val="none"/>
        </w:rPr>
        <w:t xml:space="preserve">Вместе с тем, с учетом исторических особенностей приватизации земель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u w:val="none"/>
        </w:rPr>
        <w:t xml:space="preserve">сельскохозяйственного назначения и возникших в связи с этим особенностей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u w:val="none"/>
        </w:rPr>
        <w:t xml:space="preserve">оборота земельных участков из состава указанной категории допускается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u w:val="none"/>
        </w:rPr>
        <w:t xml:space="preserve">образование многоконтурного земельного участка в следующих случаях: 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none"/>
          <w:u w:val="none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none"/>
          <w:u w:val="none"/>
        </w:rPr>
      </w:r>
    </w:p>
    <w:p>
      <w:pPr>
        <w:pStyle w:val="903"/>
        <w:ind w:left="0" w:firstLine="0"/>
        <w:jc w:val="both"/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u w:val="none"/>
        </w:rPr>
        <w:t xml:space="preserve"> </w:t>
        <w:tab/>
        <w:t xml:space="preserve">образование земельного участка осуществляется путем выдела в счет з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u w:val="none"/>
        </w:rPr>
        <w:t xml:space="preserve">емельных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u w:val="none"/>
        </w:rPr>
        <w:t xml:space="preserve">долей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u w:val="none"/>
        </w:rPr>
        <w:t xml:space="preserve"> из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u w:val="none"/>
        </w:rPr>
        <w:t xml:space="preserve"> земельного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u w:val="none"/>
        </w:rPr>
        <w:t xml:space="preserve">участка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u w:val="none"/>
        </w:rPr>
        <w:t xml:space="preserve">с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u w:val="none"/>
        </w:rPr>
        <w:t xml:space="preserve">категорией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u w:val="none"/>
        </w:rPr>
        <w:t xml:space="preserve">земель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u w:val="none"/>
        </w:rPr>
        <w:t xml:space="preserve">сельскохозяйственного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u w:val="none"/>
        </w:rPr>
        <w:t xml:space="preserve">назначения,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u w:val="none"/>
        </w:rPr>
        <w:t xml:space="preserve">которому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u w:val="none"/>
        </w:rPr>
        <w:t xml:space="preserve">при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u w:val="none"/>
        </w:rPr>
        <w:t xml:space="preserve">осуществлении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u w:val="none"/>
        </w:rPr>
        <w:t xml:space="preserve">государственного кадастрового учета ранее было присвоено наименование «единое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u w:val="none"/>
        </w:rPr>
        <w:t xml:space="preserve">землепользование», если возможность такого образования действительно следует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u w:val="none"/>
        </w:rPr>
        <w:t xml:space="preserve">из документов о правах на земельные доли и (или) иных документов, определявших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u w:val="none"/>
        </w:rPr>
        <w:t xml:space="preserve">местоположение земель сельскохозяйственных организаций, при приватизации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u w:val="none"/>
        </w:rPr>
        <w:t xml:space="preserve">земель которых возникло право на такие доли;</w:t>
      </w:r>
      <w:r>
        <w:rPr>
          <w:rFonts w:ascii="Times New Roman" w:hAnsi="Times New Roman" w:cs="Times New Roman"/>
          <w:b w:val="0"/>
          <w:bCs w:val="0"/>
          <w:color w:val="000000" w:themeColor="text1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u w:val="none"/>
        </w:rPr>
      </w:r>
    </w:p>
    <w:p>
      <w:pPr>
        <w:pStyle w:val="903"/>
        <w:ind w:left="0" w:firstLine="708"/>
        <w:jc w:val="both"/>
        <w:rPr>
          <w:rFonts w:ascii="Times New Roman" w:hAnsi="Times New Roman" w:cs="Times New Roman"/>
          <w:b w:val="0"/>
          <w:bCs w:val="0"/>
          <w:color w:val="000000" w:themeColor="text1"/>
          <w:u w:val="none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u w:val="none"/>
        </w:rPr>
        <w:t xml:space="preserve">образование земельного участка путем выдела в счет земельных долей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u w:val="none"/>
        </w:rPr>
        <w:t xml:space="preserve">из земельного участка с категорией земель сельскохозяйственного назначения,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u w:val="none"/>
        </w:rPr>
        <w:t xml:space="preserve">состоящего из одного контура, при наличии указанной выше возможности.</w:t>
      </w:r>
      <w:r>
        <w:rPr>
          <w:rFonts w:ascii="Times New Roman" w:hAnsi="Times New Roman" w:cs="Times New Roman"/>
          <w:b w:val="0"/>
          <w:bCs w:val="0"/>
          <w:color w:val="000000" w:themeColor="text1"/>
          <w:u w:val="none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u w:val="none"/>
        </w:rPr>
      </w:r>
    </w:p>
    <w:p>
      <w:pPr>
        <w:pStyle w:val="903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none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  <w:u w:val="none"/>
        </w:rPr>
        <w:tab/>
        <w:t xml:space="preserve">Исходя из вышесказанного,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u w:val="none"/>
        </w:rPr>
        <w:t xml:space="preserve">поступление в орган регистрации прав межевого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u w:val="none"/>
        </w:rPr>
        <w:t xml:space="preserve">плана (подготовленного на основании схемы расположения земельного участка после 15.04.2026), предусматривающего образование многоконтурного земельного участка,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u w:val="none"/>
        </w:rPr>
        <w:t xml:space="preserve">осуществление действий по государственному кадастровому учету приостанавливается на основании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u w:val="none"/>
        </w:rPr>
        <w:t xml:space="preserve">7 части 1 статьи 26 Закона N218-ФЗ, за исключением в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u w:val="none"/>
        </w:rPr>
        <w:t xml:space="preserve">ышеуказанных случаев.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none"/>
          <w:u w:val="none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none"/>
          <w:u w:val="none"/>
        </w:rPr>
      </w:r>
    </w:p>
    <w:p>
      <w:pPr>
        <w:pStyle w:val="903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white"/>
          <w:u w:val="none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white"/>
          <w:u w:val="none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white"/>
          <w:u w:val="none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white"/>
          <w:u w:val="none"/>
        </w:rPr>
      </w:r>
    </w:p>
    <w:p>
      <w:pPr>
        <w:pStyle w:val="903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  <w:u w:val="none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  <w:u w:val="none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  <w:u w:val="none"/>
        </w:rPr>
        <w:t xml:space="preserve">Электронная схема расположения земельного участка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  <w:u w:val="none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  <w:u w:val="none"/>
        </w:rPr>
      </w:r>
    </w:p>
    <w:p>
      <w:pPr>
        <w:pStyle w:val="903"/>
        <w:jc w:val="both"/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u w:val="none"/>
        </w:rPr>
        <w:t xml:space="preserve"> </w:t>
        <w:tab/>
        <w:t xml:space="preserve">Часто встречаются случаи, когда в состав межевого плана не включена электронная схема расположения земельного участка на кадастровом плане территории.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u w:val="none"/>
        </w:rPr>
      </w:r>
    </w:p>
    <w:p>
      <w:pPr>
        <w:pStyle w:val="903"/>
        <w:ind w:firstLine="708"/>
        <w:jc w:val="both"/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u w:val="none"/>
        </w:rPr>
        <w:t xml:space="preserve">Так согласно п.22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pacing w:val="-4"/>
          <w:sz w:val="28"/>
          <w:szCs w:val="28"/>
          <w:highlight w:val="white"/>
          <w:u w:val="none"/>
        </w:rPr>
        <w:t xml:space="preserve">Приказа Росреестра от 14.12.2021 N П/0592 "Об утверждении формы и состава сведений межевого плана, требований к его подготовке" для подготовки межевого плана используется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  <w:u w:val="none"/>
        </w:rPr>
        <w:t xml:space="preserve">схема расположения земельного участка или земельных участков на кадастровом плане территории.</w:t>
      </w:r>
      <w:r>
        <w:rPr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  <w:u w:val="none"/>
        </w:rPr>
      </w:r>
    </w:p>
    <w:p>
      <w:pPr>
        <w:pStyle w:val="903"/>
        <w:ind w:firstLine="708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white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u w:val="none"/>
        </w:rPr>
        <w:t xml:space="preserve">И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u w:val="none"/>
        </w:rPr>
        <w:t xml:space="preserve">сходя из ч 9 ст.11.10. Земельного кодекса, п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  <w:u w:val="none"/>
        </w:rPr>
        <w:t xml:space="preserve">одготовка схемы расположения земельного участка осуществляется в форме электронного документа.</w:t>
      </w:r>
      <w:r>
        <w:rPr>
          <w:u w:val="none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white"/>
          <w:u w:val="none"/>
        </w:rPr>
      </w:r>
    </w:p>
    <w:p>
      <w:pPr>
        <w:pStyle w:val="903"/>
        <w:ind w:firstLine="708"/>
        <w:jc w:val="both"/>
        <w:rPr>
          <w:rFonts w:ascii="Times New Roman" w:hAnsi="Times New Roman" w:cs="Times New Roman"/>
          <w:b w:val="0"/>
          <w:bCs w:val="0"/>
          <w:sz w:val="28"/>
          <w:szCs w:val="28"/>
          <w:highlight w:val="none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  <w:u w:val="none"/>
        </w:rPr>
        <w:t xml:space="preserve">С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  <w:u w:val="none"/>
        </w:rPr>
        <w:t xml:space="preserve">хема расположения земельного участка в форме электронного документа заверяется усиленной квалифицированной электронной подписью (подписями) уполномоченного должностного лица исполнительного органа государственной власти или органа местного самоуправления,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  <w:u w:val="none"/>
        </w:rPr>
        <w:t xml:space="preserve">утвердившего такую схему (подписавшего соглашение, издавшего приказ, постановление, решение). (п.15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pacing w:val="-4"/>
          <w:sz w:val="28"/>
          <w:szCs w:val="28"/>
          <w:highlight w:val="white"/>
          <w:u w:val="none"/>
        </w:rPr>
        <w:t xml:space="preserve">Приказ Росреестра от 19.04.2022 N П/0148  "Об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pacing w:val="-4"/>
          <w:sz w:val="28"/>
          <w:szCs w:val="28"/>
          <w:highlight w:val="white"/>
          <w:u w:val="none"/>
        </w:rPr>
        <w:t xml:space="preserve">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pacing w:val="-4"/>
          <w:sz w:val="28"/>
          <w:szCs w:val="28"/>
          <w:highlight w:val="white"/>
          <w:u w:val="none"/>
        </w:rPr>
        <w:t xml:space="preserve">стровом плане территории, подготовка которой осуществляется в форме документа на бумажном носителе")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  <w:u w:val="none"/>
        </w:rPr>
        <w:br/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  <w:u w:val="none"/>
        </w:rPr>
        <w:tab/>
        <w:t xml:space="preserve">Исключение составляет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  <w:u w:val="none"/>
        </w:rPr>
        <w:t xml:space="preserve"> случай, если подготовку схемы расположения земельного участка обеспечивает гражданин в целях образования земельного участка для его предоставления гражданину без проведения торгов, подготовка данной схемы может осуществляться по выбору указанного граждан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  <w:u w:val="none"/>
        </w:rPr>
        <w:t xml:space="preserve">ина в форме электронн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  <w:u w:val="none"/>
        </w:rPr>
        <w:t xml:space="preserve">ого документа или в форме документа на бумажном носителе.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  <w:u w:val="non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  <w:u w:val="none"/>
        </w:rPr>
      </w:r>
    </w:p>
    <w:p>
      <w:pPr>
        <w:pStyle w:val="903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  <w:u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u w:val="none"/>
        </w:rPr>
        <w:br/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  <w:u w:val="none"/>
        </w:rPr>
        <w:t xml:space="preserve">Согласование схемы расположения земельного участка с органом исполнительной власти, уполномоченным в области лесных отношений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pacing w:val="-4"/>
          <w:sz w:val="28"/>
          <w:szCs w:val="28"/>
          <w:highlight w:val="white"/>
          <w:u w:val="none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  <w:u w:val="none"/>
        </w:rPr>
      </w:r>
    </w:p>
    <w:p>
      <w:pPr>
        <w:pStyle w:val="903"/>
        <w:jc w:val="both"/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  <w:highlight w:val="white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u w:val="none"/>
        </w:rPr>
        <w:t xml:space="preserve"> </w:t>
        <w:tab/>
        <w:t xml:space="preserve">Хотелось бы напомнить, что согласно ст 3.5.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  <w:highlight w:val="white"/>
          <w:u w:val="none"/>
        </w:rPr>
        <w:t xml:space="preserve">Федеральный закон от 25.10.2001 N 137-ФЗ "О введении в действие Земельного кодекса Российской Федерации"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  <w:highlight w:val="white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u w:val="none"/>
        </w:rPr>
        <w:t xml:space="preserve">п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u w:val="none"/>
        </w:rPr>
        <w:t xml:space="preserve">ри об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разовании земельного участка из земель, находящихся в государственной собственности, схема расположения земельного участка на кадастровом плане территории подлежит согласованию с органом исполнительной власти субъек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та Российской Федерации, уполномоченным в области лесных отношений и данное согласие включается в состав межевого плана (п.22 Требований).</w:t>
      </w:r>
      <w:r>
        <w:rPr>
          <w:u w:val="none"/>
        </w:rPr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  <w:highlight w:val="white"/>
          <w:u w:val="none"/>
        </w:rPr>
      </w:r>
    </w:p>
    <w:p>
      <w:pPr>
        <w:pStyle w:val="903"/>
        <w:ind w:firstLine="708"/>
        <w:jc w:val="both"/>
        <w:rPr>
          <w:rFonts w:ascii="Times New Roman" w:hAnsi="Times New Roman" w:cs="Times New Roman"/>
          <w:sz w:val="28"/>
          <w:szCs w:val="28"/>
          <w:u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Согласование схемы в порядке, установленном настоящей статьей, не требуется в случаях образования земельного участка из земель, которые находятся в государственной собственности и расположены:</w:t>
      </w:r>
      <w:r>
        <w:rPr>
          <w:rFonts w:ascii="Times New Roman" w:hAnsi="Times New Roman" w:cs="Times New Roman"/>
          <w:sz w:val="28"/>
          <w:szCs w:val="28"/>
          <w:u w:val="none"/>
        </w:rPr>
      </w:r>
      <w:r>
        <w:rPr>
          <w:rFonts w:ascii="Times New Roman" w:hAnsi="Times New Roman" w:cs="Times New Roman"/>
          <w:sz w:val="28"/>
          <w:szCs w:val="28"/>
          <w:u w:val="none"/>
        </w:rPr>
      </w:r>
    </w:p>
    <w:p>
      <w:pPr>
        <w:pStyle w:val="903"/>
        <w:jc w:val="both"/>
        <w:rPr>
          <w:rFonts w:ascii="Times New Roman" w:hAnsi="Times New Roman" w:cs="Times New Roman"/>
          <w:sz w:val="28"/>
          <w:szCs w:val="28"/>
          <w:u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1) в границах населенного пункта;</w:t>
      </w:r>
      <w:r>
        <w:rPr>
          <w:rFonts w:ascii="Times New Roman" w:hAnsi="Times New Roman" w:cs="Times New Roman"/>
          <w:sz w:val="28"/>
          <w:szCs w:val="28"/>
          <w:u w:val="none"/>
        </w:rPr>
      </w:r>
      <w:r>
        <w:rPr>
          <w:rFonts w:ascii="Times New Roman" w:hAnsi="Times New Roman" w:cs="Times New Roman"/>
          <w:sz w:val="28"/>
          <w:szCs w:val="28"/>
          <w:u w:val="none"/>
        </w:rPr>
      </w:r>
    </w:p>
    <w:p>
      <w:pPr>
        <w:pStyle w:val="903"/>
        <w:jc w:val="both"/>
        <w:rPr>
          <w:rFonts w:ascii="Times New Roman" w:hAnsi="Times New Roman" w:cs="Times New Roman"/>
          <w:sz w:val="28"/>
          <w:szCs w:val="28"/>
          <w:u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2) в границах территориальной зоны, которая не является территориальной зоной сельскохозяйственного использования, расположена за границами населенного пункта, разрешенное использование земельных участков в пределах которой не связано с использованием лесо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в и которая не является смежной с лесничеством;</w:t>
      </w:r>
      <w:r>
        <w:rPr>
          <w:rFonts w:ascii="Times New Roman" w:hAnsi="Times New Roman" w:cs="Times New Roman"/>
          <w:sz w:val="28"/>
          <w:szCs w:val="28"/>
          <w:u w:val="none"/>
        </w:rPr>
      </w:r>
      <w:r>
        <w:rPr>
          <w:rFonts w:ascii="Times New Roman" w:hAnsi="Times New Roman" w:cs="Times New Roman"/>
          <w:sz w:val="28"/>
          <w:szCs w:val="28"/>
          <w:u w:val="none"/>
        </w:rPr>
      </w:r>
    </w:p>
    <w:p>
      <w:pPr>
        <w:pStyle w:val="903"/>
        <w:jc w:val="both"/>
        <w:rPr>
          <w:rFonts w:ascii="Times New Roman" w:hAnsi="Times New Roman" w:cs="Times New Roman"/>
          <w:sz w:val="28"/>
          <w:szCs w:val="28"/>
          <w:u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3) в границах территориальной зоны, сведения о границах которой внесены в Единый государственный реестр недвижимости;</w:t>
      </w:r>
      <w:r>
        <w:rPr>
          <w:rFonts w:ascii="Times New Roman" w:hAnsi="Times New Roman" w:cs="Times New Roman"/>
          <w:sz w:val="28"/>
          <w:szCs w:val="28"/>
          <w:u w:val="none"/>
        </w:rPr>
      </w:r>
      <w:r>
        <w:rPr>
          <w:rFonts w:ascii="Times New Roman" w:hAnsi="Times New Roman" w:cs="Times New Roman"/>
          <w:sz w:val="28"/>
          <w:szCs w:val="28"/>
          <w:u w:val="none"/>
        </w:rPr>
      </w:r>
    </w:p>
    <w:p>
      <w:pPr>
        <w:pStyle w:val="903"/>
        <w:jc w:val="both"/>
        <w:rPr>
          <w:rFonts w:ascii="Times New Roman" w:hAnsi="Times New Roman" w:cs="Times New Roman"/>
          <w:sz w:val="28"/>
          <w:szCs w:val="28"/>
          <w:u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4) в границах поселения, муниципального округа, городского округа, межселенной территории, в которых отсутствуют лесничества;</w:t>
      </w:r>
      <w:r>
        <w:rPr>
          <w:rFonts w:ascii="Times New Roman" w:hAnsi="Times New Roman" w:cs="Times New Roman"/>
          <w:sz w:val="28"/>
          <w:szCs w:val="28"/>
          <w:u w:val="none"/>
        </w:rPr>
      </w:r>
      <w:r>
        <w:rPr>
          <w:rFonts w:ascii="Times New Roman" w:hAnsi="Times New Roman" w:cs="Times New Roman"/>
          <w:sz w:val="28"/>
          <w:szCs w:val="28"/>
          <w:u w:val="none"/>
        </w:rPr>
      </w:r>
    </w:p>
    <w:p>
      <w:pPr>
        <w:pStyle w:val="903"/>
        <w:jc w:val="both"/>
        <w:rPr>
          <w:rFonts w:ascii="Times New Roman" w:hAnsi="Times New Roman" w:cs="Times New Roman"/>
          <w:sz w:val="28"/>
          <w:szCs w:val="28"/>
          <w:u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5) в границах поселения, муниципального округа, городского округа, межселенной территории, в которых сведения о границах лесничеств внесены в Единый государственный реестр недвижимости.</w:t>
      </w:r>
      <w:r>
        <w:rPr>
          <w:rFonts w:ascii="Times New Roman" w:hAnsi="Times New Roman" w:cs="Times New Roman"/>
          <w:sz w:val="28"/>
          <w:szCs w:val="28"/>
          <w:u w:val="none"/>
        </w:rPr>
      </w:r>
      <w:r>
        <w:rPr>
          <w:rFonts w:ascii="Times New Roman" w:hAnsi="Times New Roman" w:cs="Times New Roman"/>
          <w:sz w:val="28"/>
          <w:szCs w:val="28"/>
          <w:u w:val="none"/>
        </w:rPr>
      </w:r>
    </w:p>
    <w:p>
      <w:pPr>
        <w:pStyle w:val="903"/>
        <w:ind w:firstLine="70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О чем указывается в разделе «Заключение кадастрового инженера», в связи с необходимостью обосновать отсутствие согласования схемы, являющееся препятствием для осуществления государственного кадастрового учета (п.68 Требований).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</w:r>
    </w:p>
    <w:p>
      <w:pPr>
        <w:ind w:left="0" w:right="0" w:firstLine="540"/>
        <w:jc w:val="both"/>
        <w:spacing w:before="0" w:after="0" w:line="288" w:lineRule="atLeast"/>
        <w:rPr>
          <w:rFonts w:ascii="Times New Roman" w:hAnsi="Times New Roman" w:cs="Times New Roman"/>
          <w:sz w:val="28"/>
          <w:szCs w:val="28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br/>
      </w:r>
      <w:r>
        <w:rPr>
          <w:rFonts w:ascii="Times New Roman" w:hAnsi="Times New Roman" w:cs="Times New Roman"/>
          <w:sz w:val="28"/>
          <w:szCs w:val="28"/>
          <w:u w:val="none"/>
        </w:rPr>
      </w:r>
      <w:r>
        <w:rPr>
          <w:rFonts w:ascii="Times New Roman" w:hAnsi="Times New Roman" w:cs="Times New Roman"/>
          <w:sz w:val="28"/>
          <w:szCs w:val="28"/>
          <w:u w:val="none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  <w:u w:val="none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  <w:u w:val="none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  <w:u w:val="none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  <w:u w:val="none"/>
        </w:rPr>
      </w:r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</w:font>
  <w:font w:name="Wingdings">
    <w:panose1 w:val="05010000000000000000"/>
  </w:font>
  <w:font w:name="Liberation Serif">
    <w:panose1 w:val="02020603050405020304"/>
  </w:font>
  <w:font w:name="Source Han Sans CN Regular">
    <w:panose1 w:val="02000603000000000000"/>
  </w:font>
  <w:font w:name="Symbol">
    <w:panose1 w:val="05010000000000000000"/>
  </w:font>
  <w:font w:name="&amp;apos;PT Astra Serif&amp;apos;">
    <w:panose1 w:val="02000603000000000000"/>
  </w:font>
  <w:font w:name="Calibri">
    <w:panose1 w:val="020F0502020204030204"/>
  </w:font>
  <w:font w:name="SimSun">
    <w:panose1 w:val="02000506000000020000"/>
  </w:font>
  <w:font w:name="Courier New">
    <w:panose1 w:val="02070409020205020404"/>
  </w:font>
  <w:font w:name="Lohit Devanagari">
    <w:panose1 w:val="02000603000000000000"/>
  </w:font>
  <w:font w:name="Mangal">
    <w:panose1 w:val="02040503050306020203"/>
  </w:font>
  <w:font w:name="Times New Roman">
    <w:panose1 w:val="02020603050405020304"/>
  </w:font>
  <w:font w:name="Tahoma">
    <w:panose1 w:val="020B0604030504040204"/>
  </w:font>
  <w:font w:name="PT Astra Serif">
    <w:panose1 w:val="020A060304050502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40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38"/>
      <w:jc w:val="center"/>
    </w:pPr>
    <w:r>
      <w:rPr>
        <w:rFonts w:ascii="Times New Roman" w:hAnsi="Times New Roman" w:eastAsia="Times New Roman" w:cs="Times New Roman"/>
        <w:sz w:val="20"/>
        <w:szCs w:val="20"/>
      </w:rPr>
    </w:r>
    <w:fldSimple w:instr="PAGE \* MERGEFORMAT">
      <w:r>
        <w:t xml:space="preserve">1</w:t>
      </w:r>
    </w:fldSimple>
    <w:r/>
    <w:r/>
  </w:p>
  <w:p>
    <w:pPr>
      <w:pStyle w:val="738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38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Liberation Sans" w:hAnsi="Liberation Sans" w:eastAsia="Liberation Sans" w:cs="Liberation Sans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Liberation Sans" w:hAnsi="Liberation Sans" w:eastAsia="Liberation Sans" w:cs="Liberation Sans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Liberation Sans" w:hAnsi="Liberation Sans" w:eastAsia="Liberation Sans" w:cs="Liberation Sans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Liberation Sans" w:hAnsi="Liberation Sans" w:eastAsia="Liberation Sans" w:cs="Liberation Sans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11">
    <w:name w:val="Heading 1"/>
    <w:basedOn w:val="885"/>
    <w:next w:val="885"/>
    <w:link w:val="712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12">
    <w:name w:val="Heading 1 Char"/>
    <w:basedOn w:val="886"/>
    <w:link w:val="711"/>
    <w:uiPriority w:val="9"/>
    <w:rPr>
      <w:rFonts w:ascii="Arial" w:hAnsi="Arial" w:eastAsia="Arial" w:cs="Arial"/>
      <w:sz w:val="40"/>
      <w:szCs w:val="40"/>
    </w:rPr>
  </w:style>
  <w:style w:type="paragraph" w:styleId="713">
    <w:name w:val="Heading 2"/>
    <w:basedOn w:val="885"/>
    <w:next w:val="885"/>
    <w:link w:val="71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14">
    <w:name w:val="Heading 2 Char"/>
    <w:basedOn w:val="886"/>
    <w:link w:val="713"/>
    <w:uiPriority w:val="9"/>
    <w:rPr>
      <w:rFonts w:ascii="Arial" w:hAnsi="Arial" w:eastAsia="Arial" w:cs="Arial"/>
      <w:sz w:val="34"/>
    </w:rPr>
  </w:style>
  <w:style w:type="paragraph" w:styleId="715">
    <w:name w:val="Heading 3"/>
    <w:basedOn w:val="885"/>
    <w:next w:val="885"/>
    <w:link w:val="71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16">
    <w:name w:val="Heading 3 Char"/>
    <w:basedOn w:val="886"/>
    <w:link w:val="715"/>
    <w:uiPriority w:val="9"/>
    <w:rPr>
      <w:rFonts w:ascii="Arial" w:hAnsi="Arial" w:eastAsia="Arial" w:cs="Arial"/>
      <w:sz w:val="30"/>
      <w:szCs w:val="30"/>
    </w:rPr>
  </w:style>
  <w:style w:type="paragraph" w:styleId="717">
    <w:name w:val="Heading 4"/>
    <w:basedOn w:val="885"/>
    <w:next w:val="885"/>
    <w:link w:val="71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18">
    <w:name w:val="Heading 4 Char"/>
    <w:basedOn w:val="886"/>
    <w:link w:val="717"/>
    <w:uiPriority w:val="9"/>
    <w:rPr>
      <w:rFonts w:ascii="Arial" w:hAnsi="Arial" w:eastAsia="Arial" w:cs="Arial"/>
      <w:b/>
      <w:bCs/>
      <w:sz w:val="26"/>
      <w:szCs w:val="26"/>
    </w:rPr>
  </w:style>
  <w:style w:type="paragraph" w:styleId="719">
    <w:name w:val="Heading 5"/>
    <w:basedOn w:val="885"/>
    <w:next w:val="885"/>
    <w:link w:val="72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20">
    <w:name w:val="Heading 5 Char"/>
    <w:basedOn w:val="886"/>
    <w:link w:val="719"/>
    <w:uiPriority w:val="9"/>
    <w:rPr>
      <w:rFonts w:ascii="Arial" w:hAnsi="Arial" w:eastAsia="Arial" w:cs="Arial"/>
      <w:b/>
      <w:bCs/>
      <w:sz w:val="24"/>
      <w:szCs w:val="24"/>
    </w:rPr>
  </w:style>
  <w:style w:type="paragraph" w:styleId="721">
    <w:name w:val="Heading 6"/>
    <w:basedOn w:val="885"/>
    <w:next w:val="885"/>
    <w:link w:val="72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22">
    <w:name w:val="Heading 6 Char"/>
    <w:basedOn w:val="886"/>
    <w:link w:val="721"/>
    <w:uiPriority w:val="9"/>
    <w:rPr>
      <w:rFonts w:ascii="Arial" w:hAnsi="Arial" w:eastAsia="Arial" w:cs="Arial"/>
      <w:b/>
      <w:bCs/>
      <w:sz w:val="22"/>
      <w:szCs w:val="22"/>
    </w:rPr>
  </w:style>
  <w:style w:type="paragraph" w:styleId="723">
    <w:name w:val="Heading 7"/>
    <w:basedOn w:val="885"/>
    <w:next w:val="885"/>
    <w:link w:val="72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24">
    <w:name w:val="Heading 7 Char"/>
    <w:basedOn w:val="886"/>
    <w:link w:val="72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25">
    <w:name w:val="Heading 8"/>
    <w:basedOn w:val="885"/>
    <w:next w:val="885"/>
    <w:link w:val="72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26">
    <w:name w:val="Heading 8 Char"/>
    <w:basedOn w:val="886"/>
    <w:link w:val="725"/>
    <w:uiPriority w:val="9"/>
    <w:rPr>
      <w:rFonts w:ascii="Arial" w:hAnsi="Arial" w:eastAsia="Arial" w:cs="Arial"/>
      <w:i/>
      <w:iCs/>
      <w:sz w:val="22"/>
      <w:szCs w:val="22"/>
    </w:rPr>
  </w:style>
  <w:style w:type="paragraph" w:styleId="727">
    <w:name w:val="Heading 9"/>
    <w:basedOn w:val="885"/>
    <w:next w:val="885"/>
    <w:link w:val="72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8">
    <w:name w:val="Heading 9 Char"/>
    <w:basedOn w:val="886"/>
    <w:link w:val="727"/>
    <w:uiPriority w:val="9"/>
    <w:rPr>
      <w:rFonts w:ascii="Arial" w:hAnsi="Arial" w:eastAsia="Arial" w:cs="Arial"/>
      <w:i/>
      <w:iCs/>
      <w:sz w:val="21"/>
      <w:szCs w:val="21"/>
    </w:rPr>
  </w:style>
  <w:style w:type="paragraph" w:styleId="729">
    <w:name w:val="No Spacing"/>
    <w:uiPriority w:val="1"/>
    <w:qFormat/>
    <w:pPr>
      <w:spacing w:before="0" w:after="0" w:line="240" w:lineRule="auto"/>
    </w:pPr>
  </w:style>
  <w:style w:type="paragraph" w:styleId="730">
    <w:name w:val="Title"/>
    <w:basedOn w:val="885"/>
    <w:next w:val="885"/>
    <w:link w:val="73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31">
    <w:name w:val="Title Char"/>
    <w:basedOn w:val="886"/>
    <w:link w:val="730"/>
    <w:uiPriority w:val="10"/>
    <w:rPr>
      <w:sz w:val="48"/>
      <w:szCs w:val="48"/>
    </w:rPr>
  </w:style>
  <w:style w:type="paragraph" w:styleId="732">
    <w:name w:val="Subtitle"/>
    <w:basedOn w:val="885"/>
    <w:next w:val="885"/>
    <w:link w:val="733"/>
    <w:uiPriority w:val="11"/>
    <w:qFormat/>
    <w:pPr>
      <w:spacing w:before="200" w:after="200"/>
    </w:pPr>
    <w:rPr>
      <w:sz w:val="24"/>
      <w:szCs w:val="24"/>
    </w:rPr>
  </w:style>
  <w:style w:type="character" w:styleId="733">
    <w:name w:val="Subtitle Char"/>
    <w:basedOn w:val="886"/>
    <w:link w:val="732"/>
    <w:uiPriority w:val="11"/>
    <w:rPr>
      <w:sz w:val="24"/>
      <w:szCs w:val="24"/>
    </w:rPr>
  </w:style>
  <w:style w:type="paragraph" w:styleId="734">
    <w:name w:val="Quote"/>
    <w:basedOn w:val="885"/>
    <w:next w:val="885"/>
    <w:link w:val="735"/>
    <w:uiPriority w:val="29"/>
    <w:qFormat/>
    <w:pPr>
      <w:ind w:left="720" w:right="720"/>
    </w:pPr>
    <w:rPr>
      <w:i/>
    </w:rPr>
  </w:style>
  <w:style w:type="character" w:styleId="735">
    <w:name w:val="Quote Char"/>
    <w:link w:val="734"/>
    <w:uiPriority w:val="29"/>
    <w:rPr>
      <w:i/>
    </w:rPr>
  </w:style>
  <w:style w:type="paragraph" w:styleId="736">
    <w:name w:val="Intense Quote"/>
    <w:basedOn w:val="885"/>
    <w:next w:val="885"/>
    <w:link w:val="73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7">
    <w:name w:val="Intense Quote Char"/>
    <w:link w:val="736"/>
    <w:uiPriority w:val="30"/>
    <w:rPr>
      <w:i/>
    </w:rPr>
  </w:style>
  <w:style w:type="paragraph" w:styleId="738">
    <w:name w:val="Header"/>
    <w:basedOn w:val="885"/>
    <w:link w:val="73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39">
    <w:name w:val="Header Char"/>
    <w:basedOn w:val="886"/>
    <w:link w:val="738"/>
    <w:uiPriority w:val="99"/>
  </w:style>
  <w:style w:type="paragraph" w:styleId="740">
    <w:name w:val="Footer"/>
    <w:basedOn w:val="885"/>
    <w:link w:val="7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41">
    <w:name w:val="Footer Char"/>
    <w:basedOn w:val="886"/>
    <w:link w:val="740"/>
    <w:uiPriority w:val="99"/>
  </w:style>
  <w:style w:type="paragraph" w:styleId="742">
    <w:name w:val="Caption"/>
    <w:basedOn w:val="885"/>
    <w:next w:val="885"/>
    <w:link w:val="74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43">
    <w:name w:val="Caption Char"/>
    <w:basedOn w:val="742"/>
    <w:link w:val="740"/>
    <w:uiPriority w:val="99"/>
  </w:style>
  <w:style w:type="table" w:styleId="744">
    <w:name w:val="Table Grid"/>
    <w:basedOn w:val="88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5">
    <w:name w:val="Table Grid Light"/>
    <w:basedOn w:val="88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6">
    <w:name w:val="Plain Table 1"/>
    <w:basedOn w:val="88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7">
    <w:name w:val="Plain Table 2"/>
    <w:basedOn w:val="88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8">
    <w:name w:val="Plain Table 3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9">
    <w:name w:val="Plain Table 4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Plain Table 5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1">
    <w:name w:val="Grid Table 1 Light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Grid Table 1 Light - Accent 1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Grid Table 1 Light - Accent 2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Grid Table 1 Light - Accent 3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Grid Table 1 Light - Accent 4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Grid Table 1 Light - Accent 5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Grid Table 1 Light - Accent 6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Grid Table 2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2 - Accent 1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2 - Accent 2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2 - Accent 3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2 - Accent 4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2 - Accent 5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2 - Accent 6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3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3 - Accent 1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3 - Accent 2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3 - Accent 3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3 - Accent 4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3 - Accent 5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3 - Accent 6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4"/>
    <w:basedOn w:val="88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3">
    <w:name w:val="Grid Table 4 - Accent 1"/>
    <w:basedOn w:val="88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4">
    <w:name w:val="Grid Table 4 - Accent 2"/>
    <w:basedOn w:val="88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5">
    <w:name w:val="Grid Table 4 - Accent 3"/>
    <w:basedOn w:val="88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76">
    <w:name w:val="Grid Table 4 - Accent 4"/>
    <w:basedOn w:val="88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77">
    <w:name w:val="Grid Table 4 - Accent 5"/>
    <w:basedOn w:val="88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78">
    <w:name w:val="Grid Table 4 - Accent 6"/>
    <w:basedOn w:val="88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79">
    <w:name w:val="Grid Table 5 Dark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80">
    <w:name w:val="Grid Table 5 Dark- Accent 1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81">
    <w:name w:val="Grid Table 5 Dark - Accent 2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82">
    <w:name w:val="Grid Table 5 Dark - Accent 3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83">
    <w:name w:val="Grid Table 5 Dark- Accent 4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84">
    <w:name w:val="Grid Table 5 Dark - Accent 5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85">
    <w:name w:val="Grid Table 5 Dark - Accent 6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86">
    <w:name w:val="Grid Table 6 Colorful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87">
    <w:name w:val="Grid Table 6 Colorful - Accent 1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88">
    <w:name w:val="Grid Table 6 Colorful - Accent 2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89">
    <w:name w:val="Grid Table 6 Colorful - Accent 3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90">
    <w:name w:val="Grid Table 6 Colorful - Accent 4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91">
    <w:name w:val="Grid Table 6 Colorful - Accent 5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2">
    <w:name w:val="Grid Table 6 Colorful - Accent 6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3">
    <w:name w:val="Grid Table 7 Colorful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7 Colorful - Accent 1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7 Colorful - Accent 2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Grid Table 7 Colorful - Accent 3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7 Colorful - Accent 4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Grid Table 7 Colorful - Accent 5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Grid Table 7 Colorful - Accent 6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List Table 1 Light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List Table 1 Light - Accent 1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List Table 1 Light - Accent 2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List Table 1 Light - Accent 3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List Table 1 Light - Accent 4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List Table 1 Light - Accent 5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List Table 1 Light - Accent 6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List Table 2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08">
    <w:name w:val="List Table 2 - Accent 1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09">
    <w:name w:val="List Table 2 - Accent 2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10">
    <w:name w:val="List Table 2 - Accent 3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11">
    <w:name w:val="List Table 2 - Accent 4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12">
    <w:name w:val="List Table 2 - Accent 5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13">
    <w:name w:val="List Table 2 - Accent 6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14">
    <w:name w:val="List Table 3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3 - Accent 1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3 - Accent 2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3 - Accent 3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3 - Accent 4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List Table 3 - Accent 5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List Table 3 - Accent 6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List Table 4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4 - Accent 1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4 - Accent 2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4 - Accent 3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List Table 4 - Accent 4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List Table 4 - Accent 5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>
    <w:name w:val="List Table 4 - Accent 6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>
    <w:name w:val="List Table 5 Dark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9">
    <w:name w:val="List Table 5 Dark - Accent 1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0">
    <w:name w:val="List Table 5 Dark - Accent 2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1">
    <w:name w:val="List Table 5 Dark - Accent 3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2">
    <w:name w:val="List Table 5 Dark - Accent 4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3">
    <w:name w:val="List Table 5 Dark - Accent 5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4">
    <w:name w:val="List Table 5 Dark - Accent 6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5">
    <w:name w:val="List Table 6 Colorful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36">
    <w:name w:val="List Table 6 Colorful - Accent 1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37">
    <w:name w:val="List Table 6 Colorful - Accent 2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38">
    <w:name w:val="List Table 6 Colorful - Accent 3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39">
    <w:name w:val="List Table 6 Colorful - Accent 4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40">
    <w:name w:val="List Table 6 Colorful - Accent 5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41">
    <w:name w:val="List Table 6 Colorful - Accent 6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42">
    <w:name w:val="List Table 7 Colorful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43">
    <w:name w:val="List Table 7 Colorful - Accent 1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44">
    <w:name w:val="List Table 7 Colorful - Accent 2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45">
    <w:name w:val="List Table 7 Colorful - Accent 3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46">
    <w:name w:val="List Table 7 Colorful - Accent 4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47">
    <w:name w:val="List Table 7 Colorful - Accent 5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48">
    <w:name w:val="List Table 7 Colorful - Accent 6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49">
    <w:name w:val="Lined - Accent"/>
    <w:basedOn w:val="88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0">
    <w:name w:val="Lined - Accent 1"/>
    <w:basedOn w:val="88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51">
    <w:name w:val="Lined - Accent 2"/>
    <w:basedOn w:val="88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52">
    <w:name w:val="Lined - Accent 3"/>
    <w:basedOn w:val="88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53">
    <w:name w:val="Lined - Accent 4"/>
    <w:basedOn w:val="88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54">
    <w:name w:val="Lined - Accent 5"/>
    <w:basedOn w:val="88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5">
    <w:name w:val="Lined - Accent 6"/>
    <w:basedOn w:val="88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6">
    <w:name w:val="Bordered &amp; Lined - Accent"/>
    <w:basedOn w:val="88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7">
    <w:name w:val="Bordered &amp; Lined - Accent 1"/>
    <w:basedOn w:val="88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58">
    <w:name w:val="Bordered &amp; Lined - Accent 2"/>
    <w:basedOn w:val="88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59">
    <w:name w:val="Bordered &amp; Lined - Accent 3"/>
    <w:basedOn w:val="88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60">
    <w:name w:val="Bordered &amp; Lined - Accent 4"/>
    <w:basedOn w:val="88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61">
    <w:name w:val="Bordered &amp; Lined - Accent 5"/>
    <w:basedOn w:val="88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62">
    <w:name w:val="Bordered &amp; Lined - Accent 6"/>
    <w:basedOn w:val="88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63">
    <w:name w:val="Bordered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64">
    <w:name w:val="Bordered - Accent 1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65">
    <w:name w:val="Bordered - Accent 2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66">
    <w:name w:val="Bordered - Accent 3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67">
    <w:name w:val="Bordered - Accent 4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68">
    <w:name w:val="Bordered - Accent 5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69">
    <w:name w:val="Bordered - Accent 6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70">
    <w:name w:val="Footnote Text Char"/>
    <w:link w:val="891"/>
    <w:uiPriority w:val="99"/>
    <w:rPr>
      <w:sz w:val="18"/>
    </w:rPr>
  </w:style>
  <w:style w:type="paragraph" w:styleId="871">
    <w:name w:val="endnote text"/>
    <w:basedOn w:val="885"/>
    <w:link w:val="872"/>
    <w:uiPriority w:val="99"/>
    <w:semiHidden/>
    <w:unhideWhenUsed/>
    <w:pPr>
      <w:spacing w:after="0" w:line="240" w:lineRule="auto"/>
    </w:pPr>
    <w:rPr>
      <w:sz w:val="20"/>
    </w:rPr>
  </w:style>
  <w:style w:type="character" w:styleId="872">
    <w:name w:val="Endnote Text Char"/>
    <w:link w:val="871"/>
    <w:uiPriority w:val="99"/>
    <w:rPr>
      <w:sz w:val="20"/>
    </w:rPr>
  </w:style>
  <w:style w:type="character" w:styleId="873">
    <w:name w:val="endnote reference"/>
    <w:basedOn w:val="886"/>
    <w:uiPriority w:val="99"/>
    <w:semiHidden/>
    <w:unhideWhenUsed/>
    <w:rPr>
      <w:vertAlign w:val="superscript"/>
    </w:rPr>
  </w:style>
  <w:style w:type="paragraph" w:styleId="874">
    <w:name w:val="toc 1"/>
    <w:basedOn w:val="885"/>
    <w:next w:val="885"/>
    <w:uiPriority w:val="39"/>
    <w:unhideWhenUsed/>
    <w:pPr>
      <w:ind w:left="0" w:right="0" w:firstLine="0"/>
      <w:spacing w:after="57"/>
    </w:pPr>
  </w:style>
  <w:style w:type="paragraph" w:styleId="875">
    <w:name w:val="toc 2"/>
    <w:basedOn w:val="885"/>
    <w:next w:val="885"/>
    <w:uiPriority w:val="39"/>
    <w:unhideWhenUsed/>
    <w:pPr>
      <w:ind w:left="283" w:right="0" w:firstLine="0"/>
      <w:spacing w:after="57"/>
    </w:pPr>
  </w:style>
  <w:style w:type="paragraph" w:styleId="876">
    <w:name w:val="toc 3"/>
    <w:basedOn w:val="885"/>
    <w:next w:val="885"/>
    <w:uiPriority w:val="39"/>
    <w:unhideWhenUsed/>
    <w:pPr>
      <w:ind w:left="567" w:right="0" w:firstLine="0"/>
      <w:spacing w:after="57"/>
    </w:pPr>
  </w:style>
  <w:style w:type="paragraph" w:styleId="877">
    <w:name w:val="toc 4"/>
    <w:basedOn w:val="885"/>
    <w:next w:val="885"/>
    <w:uiPriority w:val="39"/>
    <w:unhideWhenUsed/>
    <w:pPr>
      <w:ind w:left="850" w:right="0" w:firstLine="0"/>
      <w:spacing w:after="57"/>
    </w:pPr>
  </w:style>
  <w:style w:type="paragraph" w:styleId="878">
    <w:name w:val="toc 5"/>
    <w:basedOn w:val="885"/>
    <w:next w:val="885"/>
    <w:uiPriority w:val="39"/>
    <w:unhideWhenUsed/>
    <w:pPr>
      <w:ind w:left="1134" w:right="0" w:firstLine="0"/>
      <w:spacing w:after="57"/>
    </w:pPr>
  </w:style>
  <w:style w:type="paragraph" w:styleId="879">
    <w:name w:val="toc 6"/>
    <w:basedOn w:val="885"/>
    <w:next w:val="885"/>
    <w:uiPriority w:val="39"/>
    <w:unhideWhenUsed/>
    <w:pPr>
      <w:ind w:left="1417" w:right="0" w:firstLine="0"/>
      <w:spacing w:after="57"/>
    </w:pPr>
  </w:style>
  <w:style w:type="paragraph" w:styleId="880">
    <w:name w:val="toc 7"/>
    <w:basedOn w:val="885"/>
    <w:next w:val="885"/>
    <w:uiPriority w:val="39"/>
    <w:unhideWhenUsed/>
    <w:pPr>
      <w:ind w:left="1701" w:right="0" w:firstLine="0"/>
      <w:spacing w:after="57"/>
    </w:pPr>
  </w:style>
  <w:style w:type="paragraph" w:styleId="881">
    <w:name w:val="toc 8"/>
    <w:basedOn w:val="885"/>
    <w:next w:val="885"/>
    <w:uiPriority w:val="39"/>
    <w:unhideWhenUsed/>
    <w:pPr>
      <w:ind w:left="1984" w:right="0" w:firstLine="0"/>
      <w:spacing w:after="57"/>
    </w:pPr>
  </w:style>
  <w:style w:type="paragraph" w:styleId="882">
    <w:name w:val="toc 9"/>
    <w:basedOn w:val="885"/>
    <w:next w:val="885"/>
    <w:uiPriority w:val="39"/>
    <w:unhideWhenUsed/>
    <w:pPr>
      <w:ind w:left="2268" w:right="0" w:firstLine="0"/>
      <w:spacing w:after="57"/>
    </w:pPr>
  </w:style>
  <w:style w:type="paragraph" w:styleId="883">
    <w:name w:val="TOC Heading"/>
    <w:uiPriority w:val="39"/>
    <w:unhideWhenUsed/>
  </w:style>
  <w:style w:type="paragraph" w:styleId="884">
    <w:name w:val="table of figures"/>
    <w:basedOn w:val="885"/>
    <w:next w:val="885"/>
    <w:uiPriority w:val="99"/>
    <w:unhideWhenUsed/>
    <w:pPr>
      <w:spacing w:after="0" w:afterAutospacing="0"/>
    </w:pPr>
  </w:style>
  <w:style w:type="paragraph" w:styleId="885" w:default="1">
    <w:name w:val="Normal"/>
    <w:qFormat/>
  </w:style>
  <w:style w:type="character" w:styleId="886" w:default="1">
    <w:name w:val="Default Paragraph Font"/>
    <w:uiPriority w:val="1"/>
    <w:semiHidden/>
    <w:unhideWhenUsed/>
  </w:style>
  <w:style w:type="table" w:styleId="88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88" w:default="1">
    <w:name w:val="No List"/>
    <w:uiPriority w:val="99"/>
    <w:semiHidden/>
    <w:unhideWhenUsed/>
  </w:style>
  <w:style w:type="paragraph" w:styleId="889">
    <w:name w:val="Balloon Text"/>
    <w:basedOn w:val="885"/>
    <w:link w:val="890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90" w:customStyle="1">
    <w:name w:val="Текст выноски Знак"/>
    <w:basedOn w:val="886"/>
    <w:link w:val="889"/>
    <w:uiPriority w:val="99"/>
    <w:semiHidden/>
    <w:rPr>
      <w:rFonts w:ascii="Tahoma" w:hAnsi="Tahoma" w:cs="Tahoma"/>
      <w:sz w:val="16"/>
      <w:szCs w:val="16"/>
    </w:rPr>
  </w:style>
  <w:style w:type="paragraph" w:styleId="891">
    <w:name w:val="footnote text"/>
    <w:basedOn w:val="885"/>
    <w:link w:val="892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892" w:customStyle="1">
    <w:name w:val="Текст сноски Знак"/>
    <w:basedOn w:val="886"/>
    <w:link w:val="891"/>
    <w:uiPriority w:val="99"/>
    <w:semiHidden/>
    <w:rPr>
      <w:sz w:val="20"/>
      <w:szCs w:val="20"/>
    </w:rPr>
  </w:style>
  <w:style w:type="character" w:styleId="893">
    <w:name w:val="footnote reference"/>
    <w:basedOn w:val="886"/>
    <w:uiPriority w:val="99"/>
    <w:semiHidden/>
    <w:unhideWhenUsed/>
    <w:rPr>
      <w:vertAlign w:val="superscript"/>
    </w:rPr>
  </w:style>
  <w:style w:type="paragraph" w:styleId="894">
    <w:name w:val="List Paragraph"/>
    <w:basedOn w:val="885"/>
    <w:uiPriority w:val="34"/>
    <w:qFormat/>
    <w:pPr>
      <w:contextualSpacing/>
      <w:ind w:left="720"/>
    </w:pPr>
  </w:style>
  <w:style w:type="character" w:styleId="895" w:customStyle="1">
    <w:name w:val="Интернет-ссылка"/>
    <w:basedOn w:val="886"/>
    <w:uiPriority w:val="99"/>
    <w:unhideWhenUsed/>
    <w:rPr>
      <w:color w:val="0000ff" w:themeColor="hyperlink"/>
      <w:u w:val="single"/>
    </w:rPr>
  </w:style>
  <w:style w:type="character" w:styleId="896" w:customStyle="1">
    <w:name w:val="value"/>
    <w:basedOn w:val="886"/>
  </w:style>
  <w:style w:type="character" w:styleId="897">
    <w:name w:val="Hyperlink"/>
    <w:basedOn w:val="886"/>
    <w:uiPriority w:val="99"/>
    <w:unhideWhenUsed/>
    <w:rPr>
      <w:color w:val="0000ff" w:themeColor="hyperlink"/>
      <w:u w:val="single"/>
    </w:rPr>
  </w:style>
  <w:style w:type="paragraph" w:styleId="898" w:customStyle="1">
    <w:name w:val="msonormal_mr_css_attr"/>
    <w:basedOn w:val="88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899" w:customStyle="1">
    <w:name w:val="Standard"/>
    <w:pPr>
      <w:spacing w:after="0" w:line="240" w:lineRule="auto"/>
    </w:pPr>
    <w:rPr>
      <w:rFonts w:ascii="Times New Roman" w:hAnsi="Times New Roman" w:eastAsia="SimSun" w:cs="Mangal"/>
      <w:sz w:val="24"/>
      <w:szCs w:val="24"/>
      <w:lang w:eastAsia="zh-CN" w:bidi="hi-IN"/>
    </w:rPr>
  </w:style>
  <w:style w:type="paragraph" w:styleId="900">
    <w:name w:val="Plain Text"/>
    <w:basedOn w:val="885"/>
    <w:link w:val="901"/>
    <w:uiPriority w:val="99"/>
    <w:unhideWhenUsed/>
    <w:pPr>
      <w:spacing w:after="0" w:line="240" w:lineRule="auto"/>
    </w:pPr>
    <w:rPr>
      <w:rFonts w:ascii="Calibri" w:hAnsi="Calibri"/>
      <w:szCs w:val="21"/>
    </w:rPr>
  </w:style>
  <w:style w:type="character" w:styleId="901" w:customStyle="1">
    <w:name w:val="Текст Знак"/>
    <w:basedOn w:val="886"/>
    <w:link w:val="900"/>
    <w:uiPriority w:val="99"/>
    <w:rPr>
      <w:rFonts w:ascii="Calibri" w:hAnsi="Calibri"/>
      <w:szCs w:val="21"/>
    </w:rPr>
  </w:style>
  <w:style w:type="paragraph" w:styleId="902" w:customStyle="1">
    <w:name w:val="Text body"/>
    <w:qFormat/>
    <w:pPr>
      <w:contextualSpacing w:val="0"/>
      <w:ind w:left="0" w:right="0" w:firstLine="0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PT Astra Serif" w:hAnsi="PT Astra Serif" w:eastAsia="Source Han Sans CN Regular" w:cs="'PT Astra Serif'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4"/>
      <w:highlight w:val="none"/>
      <w:u w:val="none"/>
      <w:vertAlign w:val="baseline"/>
      <w:rtl w:val="0"/>
      <w:cs w:val="0"/>
      <w:lang w:val="en-US" w:eastAsia="zh-CN" w:bidi="ar-SA"/>
      <w14:ligatures w14:val="none"/>
    </w:rPr>
  </w:style>
  <w:style w:type="character" w:styleId="903" w:customStyle="1">
    <w:name w:val="Internet link"/>
    <w:qFormat/>
    <w:rPr>
      <w:rFonts w:ascii="Liberation Serif" w:hAnsi="Liberation Serif" w:eastAsia="Source Han Sans CN Regular" w:cs="Lohit Devanagari"/>
      <w:color w:val="000080"/>
      <w:sz w:val="24"/>
      <w:szCs w:val="24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7A4B31-4F42-4B7E-9E88-747009F3A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R22KTV07091978</dc:creator>
  <cp:revision>386</cp:revision>
  <dcterms:created xsi:type="dcterms:W3CDTF">2017-10-17T04:32:00Z</dcterms:created>
  <dcterms:modified xsi:type="dcterms:W3CDTF">2026-07-31T06:29:44Z</dcterms:modified>
</cp:coreProperties>
</file>