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72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510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03" w:type="dxa"/>
            <w:vAlign w:val="top"/>
            <w:textDirection w:val="lrTb"/>
            <w:noWrap w:val="false"/>
          </w:tcPr>
          <w:p>
            <w:pPr>
              <w:ind w:left="720" w:right="0" w:firstLine="0"/>
              <w:jc w:val="right"/>
              <w:spacing w:after="0" w:line="288" w:lineRule="atLeast"/>
              <w:rPr>
                <w:rFonts w:ascii="Times New Roman" w:hAnsi="Times New Roman" w:eastAsia="Times New Roman" w:cs="Times New Roman"/>
                <w:bCs/>
                <w:i/>
                <w:color w:val="22272f" w:themeColor="text1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Доклад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ind w:left="720" w:right="0" w:firstLine="0"/>
              <w:jc w:val="right"/>
              <w:spacing w:after="0" w:line="288" w:lineRule="atLeast"/>
              <w:rPr>
                <w:rFonts w:ascii="Times New Roman" w:hAnsi="Times New Roman" w:eastAsia="Times New Roman" w:cs="Times New Roman"/>
                <w:bCs/>
                <w:i/>
                <w:color w:val="000000" w:themeColor="text1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ведущего специалиста-эксперта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ind w:left="720" w:right="0" w:firstLine="0"/>
              <w:jc w:val="right"/>
              <w:spacing w:after="0" w:line="288" w:lineRule="atLeast"/>
              <w:rPr>
                <w:bCs/>
                <w:i/>
                <w:color w:val="000000" w:themeColor="text1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отдела правового обеспечения </w:t>
              <w:br/>
              <w:t xml:space="preserve">Управления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Росреестра </w:t>
              <w:br/>
              <w:t xml:space="preserve">по Алтайскому краю</w:t>
            </w:r>
            <w:r>
              <w:rPr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ind w:left="720" w:right="0" w:firstLine="0"/>
              <w:jc w:val="right"/>
              <w:spacing w:after="0" w:line="288" w:lineRule="atLeast"/>
              <w:rPr>
                <w:rFonts w:ascii="Times New Roman" w:hAnsi="Times New Roman" w:eastAsia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Звековой С.А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</w:t>
            </w:r>
            <w:r>
              <w:rPr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ind w:left="720" w:right="0" w:firstLine="0"/>
              <w:jc w:val="right"/>
              <w:spacing w:after="0" w:line="288" w:lineRule="atLeast"/>
              <w:rPr>
                <w:bCs/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bCs/>
                <w:i/>
                <w:sz w:val="28"/>
                <w:szCs w:val="28"/>
              </w:rPr>
            </w:r>
          </w:p>
          <w:p>
            <w:pPr>
              <w:ind w:left="0" w:right="0" w:firstLine="0"/>
              <w:spacing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ДОКЛАД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Тема доклада: о нарушениях, допущенных кадастровыми инженерами при осуществлении кадастровых работ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Управление поступило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заявление о постановке на государственный кадастровый учет и государственной регистрации прав в связи с созданием, образованием объекта недвижимости –жилого дома.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качестве документа представлен ТЕХНИЧЕСКИЙ ПЛАН ЗДАНИЯ от 15.06.2026. Технический план подготовлен для поста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новки на кадастровый учет и регистрации прав на  жилой дом.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Площадь жилого дома для целей государственного кадастрового учета       и (или) государственной регистрации прав - 84 кв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.м. Координаты контура здания определены методом спутниковых геодезических измерений. Технический план подготовлен кадастровым инженером. При этом созданный жилой дом  в предложенных кадастровым инженером коорд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инатах не полностью входит в границы ЗУ :2885. Указанный земельный участок категории Земли населенных пунктов, с видом разрешенного использования- Для ведения личного подсобного хозяйства, уточненной площадью 730 кв.м принадлежит на праве обще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совместной собственности  двум физическим лицам.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При проведении правовой экспертизы установлено, что при загрузке 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ординат Технического плана Карта выдаёт ошибку – объект капитального строительства (далее - ОКС) не полностью входит в границы ЗУ :2885 - 2.58 кв.м, также ОКС расположен в границах ЗУ :2887, ЗУ:2886- собственниками которых заявители не являются.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связи с тем, что ОКС выходит за границы земельного участка с КН :2885,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постановка на государственный кадастровый учет и государственная регистрация прав в рамках рассмотрения данного обращения не представилась  возможной.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Государственный регистратор рекомендовал заявителям для устранения причин при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остановления учетно-регистрационных действий  предоставить Технический план с координатами ОКСа, расположенного на земельном участке, принадлежащем заявителям на праве собственности, без пересечения с чужими участками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      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2.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Управление поступило заявление от ОТКРЫТОГО АКЦИОНЕРНОГО ОБЩЕСТВА "РОССИЙСКИЕ ЖЕЛЕЗНЫЕ ДОРОГИ"                  в лице представителя об изменении основных 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арактеристик здания.                  С заявлением представлен технический план, подготовл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енный кадастровым инженером в связи с изменением сведений о площади здания и уточнением местоположения здания на земельном участке.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В разделе технического плана  «Заключение кадастрового инженера» было указано, что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первичная инвентаризация объектов недвижимости,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принадлежащих ОАО «РЖД», проводилась камерально, с использованием данных бухгалтерского учета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планов-схем расположения строений                        и сооружений, предоставленных заказчиком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связи с чем кадастровым инженером были уточнены сведения о здании путем использования более точного метода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измерений, а также использования действующих норм законодательства.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ходе проведения правовой экспертизы представленного пакета документов, государственным регистратором было  установлено следующее: Сведения о здании внесены Единый государственный реестр недвижимости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далее-ЕГРН) 24.08.2023 на основании Выписки из Единого государственного реестра объектов градостроительной деятельности от 22.01.2004г, подготовленной филиалом ФГУП «Ростехинвентаризация», согласно которой площадь здания составляет 903 кв.м.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Кроме того,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распоряжении органа регистрации имеется технический паспорт на здание, подготовленный Новоалтайским отделением филиала ФГУП «Ростехинвентаризация-Федеральное БТИ» по Алтайскому краю,составленный по состоянию на 14.08.2012.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При анализе представленных докуме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нтов и сведений ЕГРН государст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венным регистратором установлено, что площадь здания изменилась с 903 кв.м до 571 кв.м., кроме того изменилась конфигурация здания. В соответствии с п. 14 ст.1 Градостроительного кодекса Российской Федерации" от 29.12.2004 N 190-ФЗ (далее-ГрК) изменение па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раметров объекта капитального строительства, его частей 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объекта капитального строительства, является реконструкцией объектов капитально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 строительства.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Таким образом, изменению основных характеристик в отношении вышеуказанного здания  является реконструкцией объекта. Согласно п.2           ст. 51 ГрК строительство, реконструкция объектов капитального строительства осуществля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ются на основании разрешения на строительство.              В соответствии с п. 1 ст. 55 ГрК документом, который удостоверяет выполнение строительства, реконструкции объекта капитального строительства в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лном объеме в соответствии с разрешением на строительство, проектной документацией,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является Разрешение на ввод объекта в экспл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уатацию.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В нарушение вышеуказанных требований, Разрешение на ввод реконструированного объекта в эксплуатацию с заявлением не представлено.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Разрешение на строительство и проектная документация в приложении технического плана не представлена. На основании вышеизложе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нного,                    у государственного регистратора имелись основания для приостановления осуществления действий по изменению основных характеристик в отношении здания.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В целях устран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ения причин, послуживших основанием для приостановления осуществления государственной регистрации права собственности государственный регистратор предложил заявителю обратиться к кадастровому инженеру для подготовки технического плана               с учето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 выявленных замечаний и представить Разрешение на ввод реконструированного объекта в эксплуатацию, либо вступивший в законную силу судебный акт, узаканивающий реконструкцию.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    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 3.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Управление поступило заявление физического лица                                   о государственном кадастровом учете и государственной регистрации права собственности на нежил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ое здание– мойка самообслуживания, общей площадью 60,8 кв.м. В качестве документа – основания представлен Технический план от 02.06.2026г., подготовленный кадастро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вым инженером на основании декларации об объекте недвижимости от 01.06.2026г.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Здание расположено на земельном участке, относящемся к землям населенных пунктов, вид разрешенного использования – Объекты дорожного сервиса (4.9.1.), площадь 200 кв.м.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Земельный участок находится в аренде               у заявителя на основании договора аренды земельного участка несельскохозяйственного назначения сроком с 01.07.2021г. на 5 лет.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Согласно ч. 10 ст. 40 Закона о регистрации кадастровый учет                                 и государственная регист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рация прав на созданные здание или сооружение осуществляются на основании разрешения на ввод соответствующего объекта недвижимости в эксплуатацию и правоустанавливающего документа на земельный участок, на котором расположен такой объект недвижимости.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Согласно ч. 15 ст. 55 Градостроительного кодекса РФ (далее – ГрК РФ) разрешение на ввод 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ъекта в эксплуатацию не требуется в случае, если             в соответствии с частью 17 статьи 51 ГрК РФ для строительства или реконструкции объекта не требуется выдача разрешения на строительство.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В представленном пакете документов Разрешение на ввод объекта                    в эксплуатацию отсутствовал, в связи с чем органом регистра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ции был направлен запрос в Администрацию муниципального округа, на территории которого расположена мойка самообслуживания.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ласно ответу на запрос,  для размещения вышеуказанного здания мойки самообслуживания необходимо получение разрешения на строительство и разрешение на ввод объекта в эксплу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атацию, при этом физическое лицо  с заявлением о выдаче данных разрешений в Администрацию не обращалось.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Данное обстоятельство является основанием для приостановления государственного кадастрового учета и регистрации прав на основании п. 5              ч. 1 ст. 26 Закона о регистрации  - не представлены до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кументы, необходимые для осуществления государственного кадастрового учета и (или) государственной регистрации прав. 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   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Исходя из положе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ний ч. 8 ст. 24 Закона о регистрации  сведения о здании, сооружении или едином недвижимом комплексе, за исключением сведений  о местоположении таких объектов недвижимости на земельном участке и их площади, площади застройки, указываются в техническом плане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основани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представленных заказчиком разрешения на строительство здания, сооружения (в случае, если для строительства таких здания, сооружения в соответствии             с законодательством о градостроительной деятельности требуется получение такого разрешения), 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оектной документации таких объектов недвижимости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нарушение норм действующего законодательства представленный технический план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подготовлен на основании декларации об объекте недвижимости от 01.06.2026г. Данное обстоятельство является основанием для приостановления государственного кадастрового учета и регистрации прав на основании п. 7 ч. 1 ст. 26 Закона - форма и (или) содержани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документа, представленного для осуществления государственного кадастрового учета и (или) государственной регистрации прав, не соответствуют требованиям законодательства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Исходя из материалов обращения, государственный регистратор рекомендовал заявителю: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1. Обратиться в администрацию муниципального округа  для получения разрешения на строительство и ввод объекта в эксплуатацию;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2. Обратиться к кадастровому инженеру для внесе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ния изменений              в технический план на основании полученных разрешений;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3. Представить разрешение на ввод объекта в эксплуатацию                               и исправленный технический план в качестве дополнительных документов              к заявлению.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4.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Управление обратился правообладатель с заявлением о постановке на государственный кадастровый учет и государственной регистрации прав               в связи с созданием, образованием объекта недвижимости: образованием трёх земельных участков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путём перераспределения земельных участков с кадастровыми номерами :12546, :12547, :8000.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При проведении правовой экспертизы установлено, что, согласно сведениям ЕГРН, земельный участок с кадастровым номером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:8000,  имеет категорию: Земли населенных пунктов, разрешенное использование: Для жилищного строитель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ства, площадь 874 кв.м., и частично входит                            в территориальную зону 22:33-8.3 Территория объекта культурного наследия.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Территория объекта культурного наследия, площадью 691 кв.м. сформирована под Территорию объекта археологическо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 наследия федерального значения «Фирсово-1, грунтовый могильник», эпоха поздней бронзы. Охранное обязательство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утверждено Приказом Управления государственной охраны объектов культурного наследия Алтайского края.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Согласно п. 14 ст. 48 Федерального закона от 25.06.2002 №73-ФЗ «Об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объектах культурного наследия (памятниках истории и культуры) народов Российской Федерации»: памятники и ансамбли, находящиеся в общей собственности, включая памятники и ансамбли, относящиеся к жилищному фонду, а также земельные участки в границах террито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рий памятников                     и ансамблей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разделу не подлежат.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Выдел собственникам их доли в натуре не осуществляется.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Таким образом, преобразование путем перераспределения земельного участка с кадастровым номером :8000, входящего в Территорию объекта культу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рного наследия, не представляется возможным, что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является основанием для приостановления осуществления учетно-регистрационных действий в соответствии с  п. 35 ч. 1 ст. 26 Закона о регистрации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Объект недвижимости, о государственном кадастровом учете которого представлено заявление, образуется из объекта недвижимости или объектов недвижимости и раздел или выдел доли в натуре либо иное совершаемое при таком образовании действие с преобразуемым объ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ектом недвижимости или преобразуемыми объектами недвижимости не допускается в соответствии               с установленными федеральным законом требованиями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Исходя из материалов обращения государственный регистратор рекомендовал заявителю: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1. Обратиться в Управления государственной охраны объектов культурного наследия Алтайского края для получения разрешения на преобразование земельного участк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2. Обратиться к кадастровому инженеру, для возможности перераспределения смежных земельных участков, не затрагивая земельный участок с кадастровым номером :8000.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Кроме того, обращаю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внимание на 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шибки, допускаемые кадастровыми ин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женерами при подготовке межевых и технических планов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. В частности, на причины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, пре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пятствующие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автоматической загрузке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сведений ЕГРН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из представленных межевых и технических планов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во ФГИС ЕГРН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20"/>
        <w:jc w:val="both"/>
        <w:keepLines w:val="0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1. Несоответствие в пакете доку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ментов имени архива имени XML-файла внутри архива.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</w:p>
    <w:p>
      <w:pPr>
        <w:contextualSpacing/>
        <w:ind w:firstLine="720"/>
        <w:jc w:val="both"/>
        <w:keepLines w:val="0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2. 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екорректное наименование приложенных электронных документов (на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пр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имер, названия приложенных электронных документов не соответствуют требованиям ХSD-схемы обмена).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</w:p>
    <w:p>
      <w:pPr>
        <w:contextualSpacing/>
        <w:ind w:firstLine="720"/>
        <w:jc w:val="both"/>
        <w:keepLines w:val="0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3. 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екорректное указание вида объекта недвижимости.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</w:p>
    <w:p>
      <w:pPr>
        <w:contextualSpacing/>
        <w:ind w:firstLine="720"/>
        <w:jc w:val="both"/>
        <w:keepLines w:val="0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4. 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еверное определение системы координат.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</w:p>
    <w:p>
      <w:pPr>
        <w:contextualSpacing/>
        <w:ind w:firstLine="720"/>
        <w:jc w:val="both"/>
        <w:keepLines w:val="0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5. 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есоответствие геометрии, представленной на техническом плане, с данными, содержащимися в ЕГРН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</w:p>
    <w:p>
      <w:pPr>
        <w:contextualSpacing/>
        <w:ind w:firstLine="720"/>
        <w:jc w:val="both"/>
        <w:keepLines w:val="0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  <w:t xml:space="preserve">Дополнительно в адрес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  <w:t xml:space="preserve">саморегулируемых органи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  <w:t xml:space="preserve">заций направлены рекомендации по подаче технических и межевых планов в Росреестр для юридических лиц и также указаны вышеозвученные причины, препятствующие автоматической загрузке сведений ЕГРН из представленных межевых и технических планов во ФГИС ЕГРН.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14:ligatures w14:val="none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851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6"/>
      <w:jc w:val="center"/>
    </w:pPr>
    <w:fldSimple w:instr="PAGE \* MERGEFORMAT">
      <w:r>
        <w:t xml:space="preserve">1</w:t>
      </w:r>
    </w:fldSimple>
    <w:r/>
    <w:r/>
  </w:p>
  <w:p>
    <w:pPr>
      <w:pStyle w:val="71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0">
    <w:name w:val="Heading 1"/>
    <w:basedOn w:val="866"/>
    <w:next w:val="866"/>
    <w:link w:val="6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1">
    <w:name w:val="Heading 1 Char"/>
    <w:link w:val="690"/>
    <w:uiPriority w:val="9"/>
    <w:rPr>
      <w:rFonts w:ascii="Arial" w:hAnsi="Arial" w:eastAsia="Arial" w:cs="Arial"/>
      <w:sz w:val="40"/>
      <w:szCs w:val="40"/>
    </w:rPr>
  </w:style>
  <w:style w:type="paragraph" w:styleId="692">
    <w:name w:val="Heading 2"/>
    <w:basedOn w:val="866"/>
    <w:next w:val="866"/>
    <w:link w:val="69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3">
    <w:name w:val="Heading 2 Char"/>
    <w:link w:val="692"/>
    <w:uiPriority w:val="9"/>
    <w:rPr>
      <w:rFonts w:ascii="Arial" w:hAnsi="Arial" w:eastAsia="Arial" w:cs="Arial"/>
      <w:sz w:val="34"/>
    </w:rPr>
  </w:style>
  <w:style w:type="paragraph" w:styleId="694">
    <w:name w:val="Heading 3"/>
    <w:basedOn w:val="866"/>
    <w:next w:val="866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5">
    <w:name w:val="Heading 3 Char"/>
    <w:link w:val="694"/>
    <w:uiPriority w:val="9"/>
    <w:rPr>
      <w:rFonts w:ascii="Arial" w:hAnsi="Arial" w:eastAsia="Arial" w:cs="Arial"/>
      <w:sz w:val="30"/>
      <w:szCs w:val="30"/>
    </w:rPr>
  </w:style>
  <w:style w:type="paragraph" w:styleId="696">
    <w:name w:val="Heading 4"/>
    <w:basedOn w:val="866"/>
    <w:next w:val="866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link w:val="696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66"/>
    <w:next w:val="866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link w:val="69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66"/>
    <w:next w:val="866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66"/>
    <w:next w:val="866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66"/>
    <w:next w:val="866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66"/>
    <w:next w:val="866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Title"/>
    <w:basedOn w:val="866"/>
    <w:next w:val="866"/>
    <w:link w:val="7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9">
    <w:name w:val="Title Char"/>
    <w:link w:val="708"/>
    <w:uiPriority w:val="10"/>
    <w:rPr>
      <w:sz w:val="48"/>
      <w:szCs w:val="48"/>
    </w:rPr>
  </w:style>
  <w:style w:type="paragraph" w:styleId="710">
    <w:name w:val="Subtitle"/>
    <w:basedOn w:val="866"/>
    <w:next w:val="866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link w:val="710"/>
    <w:uiPriority w:val="11"/>
    <w:rPr>
      <w:sz w:val="24"/>
      <w:szCs w:val="24"/>
    </w:rPr>
  </w:style>
  <w:style w:type="paragraph" w:styleId="712">
    <w:name w:val="Quote"/>
    <w:basedOn w:val="866"/>
    <w:next w:val="866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6"/>
    <w:next w:val="866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paragraph" w:styleId="716">
    <w:name w:val="Header"/>
    <w:basedOn w:val="866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>
    <w:name w:val="Header Char"/>
    <w:link w:val="716"/>
    <w:uiPriority w:val="99"/>
  </w:style>
  <w:style w:type="paragraph" w:styleId="718">
    <w:name w:val="Footer"/>
    <w:basedOn w:val="866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Footer Char"/>
    <w:link w:val="718"/>
    <w:uiPriority w:val="99"/>
  </w:style>
  <w:style w:type="paragraph" w:styleId="720">
    <w:name w:val="Caption"/>
    <w:basedOn w:val="866"/>
    <w:next w:val="866"/>
    <w:link w:val="7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1">
    <w:name w:val="Caption Char"/>
    <w:basedOn w:val="720"/>
    <w:link w:val="718"/>
    <w:uiPriority w:val="99"/>
  </w:style>
  <w:style w:type="table" w:styleId="722">
    <w:name w:val="Table Grid"/>
    <w:basedOn w:val="8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4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5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6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7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8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9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1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2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3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4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5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6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7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9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0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1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2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3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4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6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7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8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9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0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1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8">
    <w:name w:val="Hyperlink"/>
    <w:uiPriority w:val="99"/>
    <w:unhideWhenUsed/>
    <w:rPr>
      <w:color w:val="0000ff" w:themeColor="hyperlink"/>
      <w:u w:val="single"/>
    </w:rPr>
  </w:style>
  <w:style w:type="paragraph" w:styleId="849">
    <w:name w:val="footnote text"/>
    <w:basedOn w:val="866"/>
    <w:link w:val="850"/>
    <w:uiPriority w:val="99"/>
    <w:semiHidden/>
    <w:unhideWhenUsed/>
    <w:pPr>
      <w:spacing w:after="40" w:line="240" w:lineRule="auto"/>
    </w:pPr>
    <w:rPr>
      <w:sz w:val="18"/>
    </w:rPr>
  </w:style>
  <w:style w:type="character" w:styleId="850">
    <w:name w:val="Footnote Text Char"/>
    <w:link w:val="849"/>
    <w:uiPriority w:val="99"/>
    <w:rPr>
      <w:sz w:val="18"/>
    </w:rPr>
  </w:style>
  <w:style w:type="character" w:styleId="851">
    <w:name w:val="footnote reference"/>
    <w:uiPriority w:val="99"/>
    <w:unhideWhenUsed/>
    <w:rPr>
      <w:vertAlign w:val="superscript"/>
    </w:rPr>
  </w:style>
  <w:style w:type="paragraph" w:styleId="852">
    <w:name w:val="endnote text"/>
    <w:basedOn w:val="866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uiPriority w:val="99"/>
    <w:semiHidden/>
    <w:unhideWhenUsed/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ind w:left="0" w:right="0" w:firstLine="0"/>
      <w:spacing w:after="57"/>
    </w:pPr>
  </w:style>
  <w:style w:type="paragraph" w:styleId="856">
    <w:name w:val="toc 2"/>
    <w:basedOn w:val="866"/>
    <w:next w:val="866"/>
    <w:uiPriority w:val="39"/>
    <w:unhideWhenUsed/>
    <w:pPr>
      <w:ind w:left="283" w:right="0" w:firstLine="0"/>
      <w:spacing w:after="57"/>
    </w:pPr>
  </w:style>
  <w:style w:type="paragraph" w:styleId="857">
    <w:name w:val="toc 3"/>
    <w:basedOn w:val="866"/>
    <w:next w:val="866"/>
    <w:uiPriority w:val="39"/>
    <w:unhideWhenUsed/>
    <w:pPr>
      <w:ind w:left="567" w:right="0" w:firstLine="0"/>
      <w:spacing w:after="57"/>
    </w:pPr>
  </w:style>
  <w:style w:type="paragraph" w:styleId="858">
    <w:name w:val="toc 4"/>
    <w:basedOn w:val="866"/>
    <w:next w:val="866"/>
    <w:uiPriority w:val="39"/>
    <w:unhideWhenUsed/>
    <w:pPr>
      <w:ind w:left="850" w:right="0" w:firstLine="0"/>
      <w:spacing w:after="57"/>
    </w:pPr>
  </w:style>
  <w:style w:type="paragraph" w:styleId="859">
    <w:name w:val="toc 5"/>
    <w:basedOn w:val="866"/>
    <w:next w:val="866"/>
    <w:uiPriority w:val="39"/>
    <w:unhideWhenUsed/>
    <w:pPr>
      <w:ind w:left="1134" w:right="0" w:firstLine="0"/>
      <w:spacing w:after="57"/>
    </w:pPr>
  </w:style>
  <w:style w:type="paragraph" w:styleId="860">
    <w:name w:val="toc 6"/>
    <w:basedOn w:val="866"/>
    <w:next w:val="866"/>
    <w:uiPriority w:val="39"/>
    <w:unhideWhenUsed/>
    <w:pPr>
      <w:ind w:left="1417" w:right="0" w:firstLine="0"/>
      <w:spacing w:after="57"/>
    </w:pPr>
  </w:style>
  <w:style w:type="paragraph" w:styleId="861">
    <w:name w:val="toc 7"/>
    <w:basedOn w:val="866"/>
    <w:next w:val="866"/>
    <w:uiPriority w:val="39"/>
    <w:unhideWhenUsed/>
    <w:pPr>
      <w:ind w:left="1701" w:right="0" w:firstLine="0"/>
      <w:spacing w:after="57"/>
    </w:pPr>
  </w:style>
  <w:style w:type="paragraph" w:styleId="862">
    <w:name w:val="toc 8"/>
    <w:basedOn w:val="866"/>
    <w:next w:val="866"/>
    <w:uiPriority w:val="39"/>
    <w:unhideWhenUsed/>
    <w:pPr>
      <w:ind w:left="1984" w:right="0" w:firstLine="0"/>
      <w:spacing w:after="57"/>
    </w:pPr>
  </w:style>
  <w:style w:type="paragraph" w:styleId="863">
    <w:name w:val="toc 9"/>
    <w:basedOn w:val="866"/>
    <w:next w:val="866"/>
    <w:uiPriority w:val="39"/>
    <w:unhideWhenUsed/>
    <w:pPr>
      <w:ind w:left="2268" w:right="0" w:firstLine="0"/>
      <w:spacing w:after="57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866"/>
    <w:next w:val="866"/>
    <w:uiPriority w:val="99"/>
    <w:unhideWhenUsed/>
    <w:pPr>
      <w:spacing w:after="0" w:afterAutospacing="0"/>
    </w:pPr>
  </w:style>
  <w:style w:type="paragraph" w:styleId="866" w:default="1">
    <w:name w:val="Normal"/>
    <w:qFormat/>
  </w:style>
  <w:style w:type="table" w:styleId="8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8" w:default="1">
    <w:name w:val="No List"/>
    <w:uiPriority w:val="99"/>
    <w:semiHidden/>
    <w:unhideWhenUsed/>
  </w:style>
  <w:style w:type="paragraph" w:styleId="869">
    <w:name w:val="No Spacing"/>
    <w:basedOn w:val="866"/>
    <w:uiPriority w:val="1"/>
    <w:qFormat/>
    <w:pPr>
      <w:spacing w:after="0" w:line="240" w:lineRule="auto"/>
    </w:pPr>
  </w:style>
  <w:style w:type="paragraph" w:styleId="870">
    <w:name w:val="List Paragraph"/>
    <w:basedOn w:val="866"/>
    <w:uiPriority w:val="34"/>
    <w:qFormat/>
    <w:pPr>
      <w:contextualSpacing/>
      <w:ind w:left="720"/>
    </w:pPr>
  </w:style>
  <w:style w:type="character" w:styleId="871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13</cp:revision>
  <dcterms:modified xsi:type="dcterms:W3CDTF">2026-07-31T06:25:59Z</dcterms:modified>
</cp:coreProperties>
</file>