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6"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Аналитическая записка по изменению законодательства РФ, </w:t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pStyle w:val="706"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а также издание органом нормативного регулирования писем разъяснительного характера, </w:t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pStyle w:val="706"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касающихся деятельности Филиала, изданных (опубликованных) в августе 2026 года</w:t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pStyle w:val="706"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tbl>
      <w:tblPr>
        <w:tblStyle w:val="939"/>
        <w:tblW w:w="15161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7"/>
        <w:gridCol w:w="2721"/>
        <w:gridCol w:w="4730"/>
        <w:gridCol w:w="6892"/>
      </w:tblGrid>
      <w:tr>
        <w:tblPrEx/>
        <w:trPr>
          <w:trHeight w:val="1155"/>
        </w:trPr>
        <w:tc>
          <w:tcPr>
            <w:tcW w:w="817" w:type="dxa"/>
            <w:textDirection w:val="lrTb"/>
            <w:noWrap w:val="false"/>
          </w:tcPr>
          <w:p>
            <w:pPr>
              <w:pStyle w:val="706"/>
              <w:jc w:val="center"/>
              <w:spacing w:before="0" w:after="60"/>
              <w:widowControl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val="ru-RU" w:bidi="ar-SA"/>
              </w:rPr>
              <w:t xml:space="preserve">№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706"/>
              <w:jc w:val="center"/>
              <w:spacing w:before="0" w:after="60"/>
              <w:widowControl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val="ru-RU" w:bidi="ar-SA"/>
              </w:rPr>
              <w:t xml:space="preserve">Наименование органа, издавшего документ, дата вступления в силу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W w:w="4730" w:type="dxa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val="ru-RU" w:bidi="ar-SA"/>
              </w:rPr>
              <w:t xml:space="preserve">Источник нормативного регулирования: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val="ru-RU" w:bidi="ar-SA"/>
              </w:rPr>
              <w:t xml:space="preserve">Нормативно-правовые акты, разъяснительные письма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6892" w:type="dxa"/>
            <w:textDirection w:val="lrTb"/>
            <w:noWrap w:val="false"/>
          </w:tcPr>
          <w:p>
            <w:pPr>
              <w:pStyle w:val="706"/>
              <w:jc w:val="both"/>
              <w:spacing w:before="0" w:after="0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ru-RU" w:bidi="ar-SA"/>
              </w:rPr>
              <w:t xml:space="preserve">Содержание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2721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Государственная Дума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04.08.2026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47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Федеральный закон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  <w:br/>
              <w:t xml:space="preserve">от 04.08.2026 № 305-ФЗ</w:t>
              <w:br/>
              <w:t xml:space="preserve">«О внесении изменений в Земельный кодекс Российской Федерации и статью 3.7 Федерального закона «О введении </w:t>
              <w:br/>
              <w:t xml:space="preserve">в действие Земельного кодекса Российской Федерации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W w:w="689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  <w:t xml:space="preserve">До 01.09.2031 продлен срок действия упрощенного порядка оформления прав граждан на объекты гаражного назначения </w:t>
              <w:br/>
              <w:t xml:space="preserve">и земельные участки, на которых они расположены («гаражная амнистия»)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Также внесены уточнения, предусматривающие применение таких понятий, как «гаражи для собственных нужд».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2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2721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Государственная Дума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01.09.2027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473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Федеральный закон</w:t>
              <w:br/>
              <w:t xml:space="preserve"> от 04.08.2026 № 315-ФЗ «О внесении изменений в Федеральный закон </w:t>
              <w:br/>
              <w:t xml:space="preserve">«Об электронной подписи»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689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 том числе законом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установлена обязанность безусловного использования единой формы машиночитаемой доверенности всеми операторами государственных и муниципальных инфо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рмационных систем, для использования в которых представляются электронные документы, подписанные квалифицированным сертификатом. Данное требование направлено на исключение случаев применения форм машиночитаемых доверенностей, отличных от единой формы.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2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3.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2721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Росреестр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47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Росреестра </w:t>
              <w:br/>
              <w:t xml:space="preserve">от 18.05.2026 N П/0235/26</w:t>
              <w:br/>
              <w:t xml:space="preserve">«Об утверждении Административного регламента Федеральной службы государственной регистрации, кадастра </w:t>
              <w:br/>
              <w:t xml:space="preserve">и картографии по предоставлению государственной услуги "Государственный кадастровый учет недвижимого имущества </w:t>
              <w:br/>
              <w:t xml:space="preserve">и (ил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и) государственная регистрация прав на недвижимое имущество </w:t>
              <w:br/>
              <w:t xml:space="preserve">и сделок с ним»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зарегистрировано в Минюсте России</w:t>
              <w:br/>
              <w:t xml:space="preserve">26.08.2026 № 87993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W w:w="689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  <w:t xml:space="preserve">Утвержден новый Административный регламент </w:t>
              <w:br/>
              <w:t xml:space="preserve">по предоставлению госуслуги «Государственный кадастровый учет недвижимого имущества и (или) государственная регистрация прав на недвижимое имущество и сделок с ним»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  <w:t xml:space="preserve">Услуга предоставляется Росреестром физическим </w:t>
              <w:br/>
              <w:t xml:space="preserve">и юридическим лицам. Заявитель может обратиться </w:t>
              <w:br/>
              <w:t xml:space="preserve">за предоставлением услуги лично либо через своего законного или уполномоченного представителя.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  <w:t xml:space="preserve">Определены максимальные сроки предоставления услуги.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  <w:t xml:space="preserve">За предоставление услуги уплачивается госпошлина в размере, предусмотренном Налоговым кодексом РФ. П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  <w:t xml:space="preserve">риказ вступает в силу </w:t>
              <w:br/>
              <w:t xml:space="preserve">со дня признания утратившим силу приказа Минэкономразвития России от 07.06.2017 № 278 </w:t>
              <w:br/>
              <w:t xml:space="preserve">«Об утверждении Административного регламента Федеральной службы государственной регистрации, кадастра и картографии по предоставлению гос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  <w:t xml:space="preserve">ударственной услуги </w:t>
              <w:br/>
              <w:t xml:space="preserve">по государственному кадастровому учету и (или) государственной регистрации прав на недвижимое имущество», но не ранее 01.09.2026.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2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4.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2721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Росреестр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30.08.2026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47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Приказ Росреестра</w:t>
            </w:r>
            <w:r>
              <w:rPr>
                <w:rFonts w:ascii="PT Astra Serif" w:hAnsi="PT Astra Serif" w:eastAsia="PT Astra Serif" w:cs="PT Astra Serif"/>
                <w:color w:val="0000ff"/>
                <w:sz w:val="24"/>
                <w:szCs w:val="24"/>
                <w:u w:val="none"/>
              </w:rPr>
            </w:r>
          </w:p>
          <w:p>
            <w:pPr>
              <w:jc w:val="center"/>
              <w:spacing w:before="0" w:after="0" w:line="57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от 01.06.2026 № П/0276/26</w:t>
            </w:r>
            <w:r>
              <w:rPr>
                <w:rFonts w:ascii="PT Astra Serif" w:hAnsi="PT Astra Serif" w:eastAsia="PT Astra Serif" w:cs="PT Astra Serif"/>
                <w:color w:val="0000ff"/>
                <w:sz w:val="24"/>
                <w:szCs w:val="24"/>
                <w:u w:val="none"/>
              </w:rPr>
            </w:r>
          </w:p>
          <w:p>
            <w:pPr>
              <w:jc w:val="center"/>
              <w:spacing w:before="0" w:after="0" w:line="57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«О внесении изменений в некоторые приказы Федеральной службы государственной регистрации, кадастра </w:t>
              <w:br/>
              <w:t xml:space="preserve">и картографии в сфере государственной кадастровой оценки»</w:t>
            </w:r>
            <w:r>
              <w:rPr>
                <w:rFonts w:ascii="PT Astra Serif" w:hAnsi="PT Astra Serif" w:eastAsia="PT Astra Serif" w:cs="PT Astra Serif"/>
                <w:color w:val="0000ff"/>
                <w:sz w:val="24"/>
                <w:szCs w:val="24"/>
                <w:u w:val="none"/>
              </w:rPr>
            </w:r>
          </w:p>
          <w:p>
            <w:pPr>
              <w:jc w:val="center"/>
              <w:spacing w:before="0" w:after="0" w:line="57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зарегистрировано в Минюсте России </w:t>
            </w:r>
            <w:r>
              <w:rPr>
                <w:rFonts w:ascii="PT Astra Serif" w:hAnsi="PT Astra Serif" w:eastAsia="PT Astra Serif" w:cs="PT Astra Serif"/>
                <w:color w:val="0000ff"/>
                <w:sz w:val="24"/>
                <w:szCs w:val="24"/>
                <w:u w:val="none"/>
              </w:rPr>
            </w:r>
          </w:p>
          <w:p>
            <w:pPr>
              <w:jc w:val="center"/>
              <w:spacing w:before="0" w:after="0" w:line="57" w:lineRule="atLeast"/>
              <w:rPr>
                <w:rFonts w:ascii="PT Astra Serif" w:hAnsi="PT Astra Serif" w:cs="PT Astra Serif"/>
                <w:color w:val="0000ff"/>
                <w:sz w:val="24"/>
                <w:szCs w:val="24"/>
                <w:u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18.08.2026 № 87885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W w:w="689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Изменения направлены на реализацию Федерального закона</w:t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от 28.12.2025 № 513-ФЗ, которым в числе прочего предусматривается использование Национальной системы пространственных данных на различных этапах проведения государственной кадастровой оценки и сопровождения </w:t>
              <w:br/>
              <w:t xml:space="preserve">ее результатов.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ff"/>
                <w:sz w:val="24"/>
                <w:szCs w:val="24"/>
                <w:u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Приказом,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 частности: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- закреплено, что предоставление перечней объектов недвижимости для целей определения кадастровой стоимости осуществляется с использованием федеральной государственной географической информационной системы, обеспечивающей функционирование национальной сист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емы пространственных данных;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- предусмотрено, что в случае подачи заявления </w:t>
              <w:br/>
              <w:t xml:space="preserve">об установлении кадастровой стоимости объекта недвижимости в размере его рыночной стоимости правообладателем, </w:t>
              <w:br/>
              <w:t xml:space="preserve">не являющимся собственником объекта недвижимости, </w:t>
              <w:br/>
              <w:t xml:space="preserve">в данном заявлении и в уведомлении о поступлении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такого заявления необходимо указывать также сведения </w:t>
              <w:br/>
              <w:t xml:space="preserve">о собственнике объекта недвижимости;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- установлено, что в случае, если такое заявление подано </w:t>
              <w:br/>
              <w:t xml:space="preserve">с использованием Единого портала госуслуг, соответствующее уведомление составляется исключительно в форме электронного документа.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668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5.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2721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Росреестр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30.08.2026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47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Приказ Росреестра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jc w:val="center"/>
              <w:spacing w:before="0" w:after="0" w:line="57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от 15.04.2026 № П/0189/26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jc w:val="center"/>
              <w:spacing w:before="0" w:after="0" w:line="57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«О внесении изменений в приказы Федеральной службы государственной регистрации, кадастра и картографии </w:t>
              <w:br/>
              <w:t xml:space="preserve">от 8 апреля 2021 г. № П/0149 </w:t>
              <w:br/>
              <w:t xml:space="preserve">и от 28 октября 2024 г. N П/0335/24»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jc w:val="center"/>
              <w:spacing w:before="0" w:after="0" w:line="57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Зарегистрировано в Минюсте России 18.08.2026 № 87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892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W w:w="689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Приказом, в том числе уточнено, что предоставление сведений, содержащихся в ЕГРН, посредством обеспечения доступа </w:t>
              <w:br/>
              <w:t xml:space="preserve">к ФГИС ЕГРН осуществляется только путем формирования электронного документа, содержащего сведения ЕГРН, заверенного УКЭП Роскадастра, в виде выписок из ЕГРН, предос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тавляемых в форме электронных документов.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Просмотр сведений, содержащихся в ЕГРН, без формирования электронного документа, исключен из числа способов предоставления сведений из ЕГРН.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Также корреспондирующие изменения внесены в приказ Росреестра от 28.10.2024 № П/0335/24 «Об установлении размеров платы за предоставление сведений, содержащихся </w:t>
              <w:br/>
              <w:t xml:space="preserve">в Едином государственном реестре недвижимости, и иной информации»: исключены положения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 размерах платы </w:t>
              <w:br/>
              <w:t xml:space="preserve">за просмотр сведений, содержащихся в ЕГРН, без формирования электронного документа.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ff"/>
                <w:sz w:val="24"/>
                <w:szCs w:val="24"/>
                <w:u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6.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2721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47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Письмо ППК «Роскадастр»</w:t>
              <w:br/>
              <w:t xml:space="preserve">от 05.08.2026 № 19н-0149/26</w:t>
              <w:br/>
              <w:t xml:space="preserve">«О направлении информации»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W w:w="689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  <w:t xml:space="preserve">В письме даны разъяснения по вопросу предоставления сведений, содержащихся в ЕГРН, в виде копии иного документа, содержащего сведения об описании местоположения объекта недвижимост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  <w:t xml:space="preserve">и. О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</w:rPr>
              <w:t xml:space="preserve">тмечено, что сведения, содержащиеся в ЕГРН, в виде копии документов, на основании которых сведения внесены в ЕГРН, предоставляются ограниченному кругу лиц: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правообладателю, его законному представителю, лицу, получившему доверенность от правообладателя или его законного представителя;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нотариусу в связи с истребованием сведений и документов, необходимых для совершения нотариального действия;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судам, правоохранительным органам, органам, осуществляющим оперативно-розыскную деятельность, включая копии правоустанавливающих документов и (или) копии иных документов, которые содержатся в реестровых делах.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участков, чьи личные подписи в нем содержатся, </w:t>
              <w:br/>
              <w:t xml:space="preserve">их представителей, а также лиц, к которым пр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ава </w:t>
              <w:br/>
              <w:t xml:space="preserve">на соответствующие земельные участки перешли в порядке универсального правопреемства.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При отсутствии в ЕГРН запрашиваемых сведений </w:t>
              <w:br/>
              <w:t xml:space="preserve">ППК «Роскадастр» в срок не более трех рабочих дней со дня получения запроса должна направить заявителю уведомление </w:t>
              <w:br/>
              <w:t xml:space="preserve">об отсутствии в ЕГРН запрашиваемых сведений.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Сообщается, что в случае, если в ходе уточнения предмета запроса с заявителем будет согласовано изменение предмета запроса - копии запрашиваемого документа на копию иного имеющегося в реестровом деле документа, содержание которого отвечает потребностям зая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вителя, можно выдать копию такого документа (если предоставление указанных сведений </w:t>
              <w:br/>
              <w:t xml:space="preserve">не запрещено законом).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Необходимо проинформировать заявителя о размере платы за выдачу копии запрашиваемого документа, а также о порядке возврата ранее уплаченных средств в размере, превышающем указанный размер платы.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ff"/>
                <w:sz w:val="24"/>
                <w:szCs w:val="24"/>
                <w:u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8.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2721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47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Письмо ППК «Роскадастр»</w:t>
              <w:br/>
              <w:t xml:space="preserve">от 04.08.2026 № 19н-0146/26</w:t>
              <w:br/>
              <w:t xml:space="preserve">«О направлении информации»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689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Сообщается, что плата за копии договора или иной сделки установлена приложением № 1 к Приказу Росреестра </w:t>
              <w:br/>
              <w:t xml:space="preserve">от 28.10.2024 № П/0335/24 в строке: «Копия договора или иного документа, выражающего содержание односторонней сделки, совершенной в простой письменной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форме, содержащегося </w:t>
              <w:br/>
              <w:t xml:space="preserve">в реестровом деле (кроме предприятия как имущественного комплекса), за 1 единицу в рублях».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Плата за копии иных правоустанавливающих документов (кроме правоустанавливающих документов в виде договора или иной сделки) может взиматься в размере, предусмотренном приложением № 1 к Приказу № П/0335/24 в строке: «Копия иного документа, на основании кото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рого сведения об объекте недвижимости внесены в ЕГРН, за 1 единицу в рублях».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</w:tr>
    </w:tbl>
    <w:p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6838" w:h="11906" w:orient="landscape"/>
      <w:pgMar w:top="851" w:right="567" w:bottom="426" w:left="1134" w:header="708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Courier New">
    <w:panose1 w:val="02070409020205020404"/>
  </w:font>
  <w:font w:name="Segoe UI">
    <w:panose1 w:val="020B0502040504020204"/>
  </w:font>
  <w:font w:name="Wingdings">
    <w:panose1 w:val="05010000000000000000"/>
  </w:font>
  <w:font w:name="Liberation Sans">
    <w:panose1 w:val="020B0604020202020204"/>
  </w:font>
  <w:font w:name="PT Astra Serif">
    <w:panose1 w:val="020A0603040505020204"/>
  </w:font>
  <w:font w:name="Arial">
    <w:panose1 w:val="020B0604020202020204"/>
  </w:font>
  <w:font w:name="Calibri Light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 xml:space="preserve">3</w:t>
    </w:r>
    <w:r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80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/>
      <w:suff w:val="tab"/>
      <w:lvlText w:val="·"/>
      <w:lvlJc w:val="left"/>
      <w:pPr>
        <w:ind w:left="70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/>
      <w:suff w:val="tab"/>
      <w:lvlText w:val="·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2">
      <w:start w:val="1"/>
      <w:numFmt w:val="bullet"/>
      <w:isLgl/>
      <w:suff w:val="tab"/>
      <w:lvlText w:val="·"/>
      <w:lvlJc w:val="left"/>
      <w:pPr>
        <w:ind w:left="2149" w:hanging="360"/>
        <w:tabs>
          <w:tab w:val="num" w:pos="0" w:leader="none"/>
        </w:tabs>
      </w:pPr>
      <w:rPr>
        <w:rFonts w:hint="default" w:ascii="Symbol" w:hAnsi="Symbol" w:cs="Symbol"/>
      </w:rPr>
    </w:lvl>
    <w:lvl w:ilvl="3">
      <w:start w:val="1"/>
      <w:numFmt w:val="bullet"/>
      <w:isLgl/>
      <w:suff w:val="tab"/>
      <w:lvlText w:val="·"/>
      <w:lvlJc w:val="left"/>
      <w:pPr>
        <w:ind w:left="286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5">
      <w:start w:val="1"/>
      <w:numFmt w:val="bullet"/>
      <w:isLgl/>
      <w:suff w:val="tab"/>
      <w:lvlText w:val="·"/>
      <w:lvlJc w:val="left"/>
      <w:pPr>
        <w:ind w:left="4309" w:hanging="360"/>
        <w:tabs>
          <w:tab w:val="num" w:pos="0" w:leader="none"/>
        </w:tabs>
      </w:pPr>
      <w:rPr>
        <w:rFonts w:hint="default" w:ascii="Symbol" w:hAnsi="Symbol" w:cs="Symbol"/>
      </w:rPr>
    </w:lvl>
    <w:lvl w:ilvl="6">
      <w:start w:val="1"/>
      <w:numFmt w:val="bullet"/>
      <w:isLgl/>
      <w:suff w:val="tab"/>
      <w:lvlText w:val="·"/>
      <w:lvlJc w:val="left"/>
      <w:pPr>
        <w:ind w:left="502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8">
      <w:start w:val="1"/>
      <w:numFmt w:val="bullet"/>
      <w:isLgl/>
      <w:suff w:val="tab"/>
      <w:lvlText w:val="·"/>
      <w:lvlJc w:val="left"/>
      <w:pPr>
        <w:ind w:left="6469" w:hanging="360"/>
        <w:tabs>
          <w:tab w:val="num" w:pos="0" w:leader="none"/>
        </w:tabs>
      </w:pPr>
      <w:rPr>
        <w:rFonts w:hint="default" w:ascii="Symbol" w:hAnsi="Symbol" w:cs="Symbol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05">
    <w:name w:val="No List"/>
    <w:uiPriority w:val="99"/>
    <w:semiHidden/>
    <w:unhideWhenUsed/>
  </w:style>
  <w:style w:type="paragraph" w:styleId="706" w:default="1">
    <w:name w:val="Normal"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707">
    <w:name w:val="Heading 1"/>
    <w:basedOn w:val="706"/>
    <w:next w:val="706"/>
    <w:link w:val="762"/>
    <w:uiPriority w:val="9"/>
    <w:qFormat/>
    <w:pPr>
      <w:keepLines/>
      <w:keepNext/>
      <w:spacing w:before="240" w:after="0" w:line="259" w:lineRule="auto"/>
      <w:outlineLvl w:val="0"/>
    </w:pPr>
    <w:rPr>
      <w:rFonts w:ascii="Calibri Light" w:hAnsi="Calibri Light" w:eastAsia="Arial" w:cs="Arial"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  <w:style w:type="paragraph" w:styleId="708">
    <w:name w:val="Heading 2"/>
    <w:basedOn w:val="706"/>
    <w:next w:val="706"/>
    <w:link w:val="73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9">
    <w:name w:val="Heading 3"/>
    <w:basedOn w:val="706"/>
    <w:next w:val="706"/>
    <w:link w:val="73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0">
    <w:name w:val="Heading 4"/>
    <w:basedOn w:val="706"/>
    <w:next w:val="706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706"/>
    <w:next w:val="706"/>
    <w:link w:val="73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12">
    <w:name w:val="Heading 6"/>
    <w:basedOn w:val="706"/>
    <w:next w:val="706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3">
    <w:name w:val="Heading 7"/>
    <w:basedOn w:val="706"/>
    <w:next w:val="706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706"/>
    <w:next w:val="706"/>
    <w:link w:val="73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5">
    <w:name w:val="Heading 9"/>
    <w:basedOn w:val="706"/>
    <w:next w:val="706"/>
    <w:link w:val="74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6">
    <w:name w:val="Heading 2 Char"/>
    <w:basedOn w:val="731"/>
    <w:uiPriority w:val="9"/>
    <w:qFormat/>
    <w:rPr>
      <w:rFonts w:ascii="Liberation Sans" w:hAnsi="Liberation Sans" w:eastAsia="Liberation Sans" w:cs="Liberation Sans"/>
      <w:sz w:val="34"/>
    </w:rPr>
  </w:style>
  <w:style w:type="character" w:styleId="717">
    <w:name w:val="Heading 3 Char"/>
    <w:basedOn w:val="731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718">
    <w:name w:val="Heading 4 Char"/>
    <w:basedOn w:val="731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9">
    <w:name w:val="Heading 5 Char"/>
    <w:basedOn w:val="731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0">
    <w:name w:val="Heading 6 Char"/>
    <w:basedOn w:val="731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1">
    <w:name w:val="Heading 7 Char"/>
    <w:basedOn w:val="731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2">
    <w:name w:val="Heading 8 Char"/>
    <w:basedOn w:val="731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3">
    <w:name w:val="Heading 9 Char"/>
    <w:basedOn w:val="731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4">
    <w:name w:val="Title Char"/>
    <w:basedOn w:val="731"/>
    <w:uiPriority w:val="10"/>
    <w:qFormat/>
    <w:rPr>
      <w:sz w:val="48"/>
      <w:szCs w:val="48"/>
    </w:rPr>
  </w:style>
  <w:style w:type="character" w:styleId="725">
    <w:name w:val="Subtitle Char"/>
    <w:basedOn w:val="731"/>
    <w:uiPriority w:val="11"/>
    <w:qFormat/>
    <w:rPr>
      <w:sz w:val="24"/>
      <w:szCs w:val="24"/>
    </w:rPr>
  </w:style>
  <w:style w:type="character" w:styleId="726">
    <w:name w:val="Quote Char"/>
    <w:link w:val="782"/>
    <w:uiPriority w:val="29"/>
    <w:qFormat/>
    <w:rPr>
      <w:i/>
    </w:rPr>
  </w:style>
  <w:style w:type="character" w:styleId="727">
    <w:name w:val="Intense Quote Char"/>
    <w:link w:val="783"/>
    <w:uiPriority w:val="30"/>
    <w:qFormat/>
    <w:rPr>
      <w:i/>
    </w:rPr>
  </w:style>
  <w:style w:type="character" w:styleId="728">
    <w:name w:val="Caption Char"/>
    <w:basedOn w:val="731"/>
    <w:uiPriority w:val="35"/>
    <w:qFormat/>
    <w:rPr>
      <w:b/>
      <w:bCs/>
      <w:color w:val="4f81bd" w:themeColor="accent1"/>
      <w:sz w:val="18"/>
      <w:szCs w:val="18"/>
    </w:rPr>
  </w:style>
  <w:style w:type="character" w:styleId="729">
    <w:name w:val="Footnote Text Char"/>
    <w:uiPriority w:val="99"/>
    <w:qFormat/>
    <w:rPr>
      <w:sz w:val="18"/>
    </w:rPr>
  </w:style>
  <w:style w:type="character" w:styleId="730">
    <w:name w:val="Endnote Text Char"/>
    <w:uiPriority w:val="99"/>
    <w:qFormat/>
    <w:rPr>
      <w:sz w:val="20"/>
    </w:rPr>
  </w:style>
  <w:style w:type="character" w:styleId="731" w:default="1">
    <w:name w:val="Default Paragraph Font"/>
    <w:uiPriority w:val="1"/>
    <w:semiHidden/>
    <w:unhideWhenUsed/>
    <w:qFormat/>
  </w:style>
  <w:style w:type="character" w:styleId="732" w:customStyle="1">
    <w:name w:val="Heading 1 Char"/>
    <w:basedOn w:val="731"/>
    <w:uiPriority w:val="9"/>
    <w:qFormat/>
    <w:rPr>
      <w:rFonts w:ascii="Arial" w:hAnsi="Arial" w:eastAsia="Arial" w:cs="Arial"/>
      <w:sz w:val="40"/>
      <w:szCs w:val="40"/>
    </w:rPr>
  </w:style>
  <w:style w:type="character" w:styleId="733" w:customStyle="1">
    <w:name w:val="Заголовок 2 Знак"/>
    <w:basedOn w:val="731"/>
    <w:uiPriority w:val="9"/>
    <w:qFormat/>
    <w:rPr>
      <w:rFonts w:ascii="Arial" w:hAnsi="Arial" w:eastAsia="Arial" w:cs="Arial"/>
      <w:sz w:val="34"/>
    </w:rPr>
  </w:style>
  <w:style w:type="character" w:styleId="734" w:customStyle="1">
    <w:name w:val="Заголовок 3 Знак"/>
    <w:basedOn w:val="731"/>
    <w:uiPriority w:val="9"/>
    <w:qFormat/>
    <w:rPr>
      <w:rFonts w:ascii="Arial" w:hAnsi="Arial" w:eastAsia="Arial" w:cs="Arial"/>
      <w:sz w:val="30"/>
      <w:szCs w:val="30"/>
    </w:rPr>
  </w:style>
  <w:style w:type="character" w:styleId="735" w:customStyle="1">
    <w:name w:val="Заголовок 4 Знак"/>
    <w:basedOn w:val="731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36" w:customStyle="1">
    <w:name w:val="Заголовок 5 Знак"/>
    <w:basedOn w:val="731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37" w:customStyle="1">
    <w:name w:val="Заголовок 6 Знак"/>
    <w:basedOn w:val="73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38" w:customStyle="1">
    <w:name w:val="Заголовок 7 Знак"/>
    <w:basedOn w:val="73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39" w:customStyle="1">
    <w:name w:val="Заголовок 8 Знак"/>
    <w:basedOn w:val="73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40" w:customStyle="1">
    <w:name w:val="Заголовок 9 Знак"/>
    <w:basedOn w:val="73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41" w:customStyle="1">
    <w:name w:val="Название Знак"/>
    <w:basedOn w:val="731"/>
    <w:uiPriority w:val="10"/>
    <w:qFormat/>
    <w:rPr>
      <w:sz w:val="48"/>
      <w:szCs w:val="48"/>
    </w:rPr>
  </w:style>
  <w:style w:type="character" w:styleId="742" w:customStyle="1">
    <w:name w:val="Подзаголовок Знак"/>
    <w:basedOn w:val="731"/>
    <w:uiPriority w:val="11"/>
    <w:qFormat/>
    <w:rPr>
      <w:sz w:val="24"/>
      <w:szCs w:val="24"/>
    </w:rPr>
  </w:style>
  <w:style w:type="character" w:styleId="743" w:customStyle="1">
    <w:name w:val="Цитата 2 Знак"/>
    <w:link w:val="782"/>
    <w:uiPriority w:val="29"/>
    <w:qFormat/>
    <w:rPr>
      <w:i/>
    </w:rPr>
  </w:style>
  <w:style w:type="character" w:styleId="744" w:customStyle="1">
    <w:name w:val="Выделенная цитата Знак"/>
    <w:link w:val="783"/>
    <w:uiPriority w:val="30"/>
    <w:qFormat/>
    <w:rPr>
      <w:i/>
    </w:rPr>
  </w:style>
  <w:style w:type="character" w:styleId="745" w:customStyle="1">
    <w:name w:val="Header Char"/>
    <w:basedOn w:val="731"/>
    <w:uiPriority w:val="99"/>
    <w:qFormat/>
  </w:style>
  <w:style w:type="character" w:styleId="746" w:customStyle="1">
    <w:name w:val="Footer Char"/>
    <w:basedOn w:val="731"/>
    <w:uiPriority w:val="99"/>
    <w:qFormat/>
  </w:style>
  <w:style w:type="character" w:styleId="747" w:customStyle="1">
    <w:name w:val="Название объекта Знак"/>
    <w:basedOn w:val="731"/>
    <w:uiPriority w:val="35"/>
    <w:qFormat/>
    <w:rPr>
      <w:b/>
      <w:bCs/>
      <w:color w:val="5b9bd5" w:themeColor="accent1"/>
      <w:sz w:val="18"/>
      <w:szCs w:val="18"/>
    </w:rPr>
  </w:style>
  <w:style w:type="character" w:styleId="748" w:customStyle="1">
    <w:name w:val="Текст сноски Знак"/>
    <w:uiPriority w:val="99"/>
    <w:qFormat/>
    <w:rPr>
      <w:sz w:val="18"/>
    </w:rPr>
  </w:style>
  <w:style w:type="character" w:styleId="749">
    <w:name w:val="Символ сноски"/>
    <w:uiPriority w:val="99"/>
    <w:unhideWhenUsed/>
    <w:qFormat/>
    <w:rPr>
      <w:vertAlign w:val="superscript"/>
    </w:rPr>
  </w:style>
  <w:style w:type="character" w:styleId="750">
    <w:name w:val="footnote reference"/>
    <w:rPr>
      <w:vertAlign w:val="superscript"/>
    </w:rPr>
  </w:style>
  <w:style w:type="character" w:styleId="751" w:customStyle="1">
    <w:name w:val="Текст концевой сноски Знак"/>
    <w:uiPriority w:val="99"/>
    <w:qFormat/>
    <w:rPr>
      <w:sz w:val="20"/>
    </w:rPr>
  </w:style>
  <w:style w:type="character" w:styleId="75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53">
    <w:name w:val="endnote reference"/>
    <w:rPr>
      <w:vertAlign w:val="superscript"/>
    </w:rPr>
  </w:style>
  <w:style w:type="character" w:styleId="754" w:customStyle="1">
    <w:name w:val="Верхний колонтитул Знак"/>
    <w:basedOn w:val="731"/>
    <w:uiPriority w:val="99"/>
    <w:qFormat/>
  </w:style>
  <w:style w:type="character" w:styleId="755" w:customStyle="1">
    <w:name w:val="Нижний колонтитул Знак"/>
    <w:basedOn w:val="731"/>
    <w:uiPriority w:val="99"/>
    <w:qFormat/>
  </w:style>
  <w:style w:type="character" w:styleId="756" w:customStyle="1">
    <w:name w:val="Текст выноски Знак"/>
    <w:basedOn w:val="731"/>
    <w:link w:val="802"/>
    <w:uiPriority w:val="99"/>
    <w:semiHidden/>
    <w:qFormat/>
    <w:rPr>
      <w:rFonts w:ascii="Segoe UI" w:hAnsi="Segoe UI" w:cs="Segoe UI"/>
      <w:sz w:val="18"/>
      <w:szCs w:val="18"/>
    </w:rPr>
  </w:style>
  <w:style w:type="character" w:styleId="757" w:customStyle="1">
    <w:name w:val="doccaption"/>
    <w:basedOn w:val="731"/>
    <w:qFormat/>
  </w:style>
  <w:style w:type="character" w:styleId="758">
    <w:name w:val="Hyperlink"/>
    <w:basedOn w:val="731"/>
    <w:uiPriority w:val="99"/>
    <w:unhideWhenUsed/>
    <w:rPr>
      <w:color w:val="0000ff"/>
      <w:u w:val="single"/>
    </w:rPr>
  </w:style>
  <w:style w:type="character" w:styleId="759" w:customStyle="1">
    <w:name w:val="Стандартный HTML Знак"/>
    <w:basedOn w:val="731"/>
    <w:link w:val="804"/>
    <w:uiPriority w:val="99"/>
    <w:qFormat/>
    <w:rPr>
      <w:rFonts w:ascii="Courier New" w:hAnsi="Courier New" w:eastAsia="Times New Roman" w:cs="Courier New"/>
      <w:sz w:val="20"/>
      <w:szCs w:val="20"/>
      <w:lang w:eastAsia="ru-RU"/>
    </w:rPr>
  </w:style>
  <w:style w:type="character" w:styleId="760" w:customStyle="1">
    <w:name w:val="blk"/>
    <w:basedOn w:val="731"/>
    <w:qFormat/>
    <w:rPr>
      <w:vanish w:val="0"/>
    </w:rPr>
  </w:style>
  <w:style w:type="character" w:styleId="761" w:customStyle="1">
    <w:name w:val="nobr"/>
    <w:basedOn w:val="731"/>
    <w:qFormat/>
  </w:style>
  <w:style w:type="character" w:styleId="762" w:customStyle="1">
    <w:name w:val="Заголовок 1 Знак"/>
    <w:basedOn w:val="731"/>
    <w:uiPriority w:val="9"/>
    <w:qFormat/>
    <w:rPr>
      <w:rFonts w:ascii="Calibri Light" w:hAnsi="Calibri Light" w:eastAsia="Arial" w:cs="Arial"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3" w:customStyle="1">
    <w:name w:val="Основной текст_"/>
    <w:basedOn w:val="731"/>
    <w:qFormat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character" w:styleId="764" w:customStyle="1">
    <w:name w:val="oz_naimen"/>
    <w:basedOn w:val="731"/>
    <w:qFormat/>
  </w:style>
  <w:style w:type="character" w:styleId="765" w:customStyle="1">
    <w:name w:val="pt-a0"/>
    <w:basedOn w:val="731"/>
    <w:qFormat/>
  </w:style>
  <w:style w:type="character" w:styleId="766" w:customStyle="1">
    <w:name w:val="pt-a0-000004"/>
    <w:basedOn w:val="731"/>
    <w:qFormat/>
  </w:style>
  <w:style w:type="character" w:styleId="767" w:customStyle="1">
    <w:name w:val="doc__title_important1"/>
    <w:basedOn w:val="731"/>
    <w:qFormat/>
    <w:rPr>
      <w:vanish w:val="0"/>
      <w:color w:val="000000"/>
    </w:rPr>
  </w:style>
  <w:style w:type="character" w:styleId="768">
    <w:name w:val="annotation reference"/>
    <w:basedOn w:val="731"/>
    <w:uiPriority w:val="99"/>
    <w:semiHidden/>
    <w:unhideWhenUsed/>
    <w:qFormat/>
    <w:rPr>
      <w:sz w:val="16"/>
      <w:szCs w:val="16"/>
    </w:rPr>
  </w:style>
  <w:style w:type="character" w:styleId="769" w:customStyle="1">
    <w:name w:val="Текст примечания Знак"/>
    <w:basedOn w:val="731"/>
    <w:uiPriority w:val="99"/>
    <w:semiHidden/>
    <w:qFormat/>
    <w:rPr>
      <w:sz w:val="20"/>
      <w:szCs w:val="20"/>
    </w:rPr>
  </w:style>
  <w:style w:type="character" w:styleId="770" w:customStyle="1">
    <w:name w:val="Тема примечания Знак"/>
    <w:basedOn w:val="769"/>
    <w:link w:val="809"/>
    <w:uiPriority w:val="99"/>
    <w:semiHidden/>
    <w:qFormat/>
    <w:rPr>
      <w:b/>
      <w:bCs/>
      <w:sz w:val="20"/>
      <w:szCs w:val="20"/>
    </w:rPr>
  </w:style>
  <w:style w:type="character" w:styleId="771" w:customStyle="1">
    <w:name w:val="pt-a0-000002"/>
    <w:basedOn w:val="731"/>
    <w:qFormat/>
  </w:style>
  <w:style w:type="character" w:styleId="772" w:customStyle="1">
    <w:name w:val="pt-a0-000003"/>
    <w:basedOn w:val="731"/>
    <w:qFormat/>
  </w:style>
  <w:style w:type="character" w:styleId="773">
    <w:name w:val="Символ нумерации"/>
    <w:qFormat/>
  </w:style>
  <w:style w:type="paragraph" w:styleId="774">
    <w:name w:val="Заголовок"/>
    <w:basedOn w:val="706"/>
    <w:next w:val="775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75">
    <w:name w:val="Body Text"/>
    <w:basedOn w:val="706"/>
    <w:pPr>
      <w:spacing w:before="0" w:after="140" w:line="276" w:lineRule="auto"/>
    </w:pPr>
  </w:style>
  <w:style w:type="paragraph" w:styleId="776">
    <w:name w:val="List"/>
    <w:basedOn w:val="775"/>
    <w:rPr>
      <w:rFonts w:ascii="PT Astra Serif" w:hAnsi="PT Astra Serif" w:cs="Noto Sans Devanagari"/>
    </w:rPr>
  </w:style>
  <w:style w:type="paragraph" w:styleId="777">
    <w:name w:val="Caption"/>
    <w:basedOn w:val="706"/>
    <w:next w:val="706"/>
    <w:link w:val="74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778">
    <w:name w:val="Указатель"/>
    <w:basedOn w:val="706"/>
    <w:qFormat/>
    <w:pPr>
      <w:suppressLineNumbers/>
    </w:pPr>
    <w:rPr>
      <w:rFonts w:ascii="PT Astra Serif" w:hAnsi="PT Astra Serif" w:cs="Noto Sans Devanagari"/>
    </w:rPr>
  </w:style>
  <w:style w:type="paragraph" w:styleId="779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80">
    <w:name w:val="Title"/>
    <w:basedOn w:val="706"/>
    <w:next w:val="706"/>
    <w:link w:val="741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81">
    <w:name w:val="Subtitle"/>
    <w:basedOn w:val="706"/>
    <w:next w:val="706"/>
    <w:link w:val="742"/>
    <w:uiPriority w:val="11"/>
    <w:qFormat/>
    <w:pPr>
      <w:spacing w:before="200" w:after="200"/>
    </w:pPr>
  </w:style>
  <w:style w:type="paragraph" w:styleId="782">
    <w:name w:val="Quote"/>
    <w:basedOn w:val="706"/>
    <w:next w:val="706"/>
    <w:link w:val="743"/>
    <w:uiPriority w:val="29"/>
    <w:qFormat/>
    <w:pPr>
      <w:ind w:left="720" w:right="720"/>
    </w:pPr>
    <w:rPr>
      <w:i/>
    </w:rPr>
  </w:style>
  <w:style w:type="paragraph" w:styleId="783">
    <w:name w:val="Intense Quote"/>
    <w:basedOn w:val="706"/>
    <w:next w:val="706"/>
    <w:link w:val="74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4">
    <w:name w:val="footnote text"/>
    <w:basedOn w:val="706"/>
    <w:link w:val="748"/>
    <w:uiPriority w:val="99"/>
    <w:semiHidden/>
    <w:unhideWhenUsed/>
    <w:pPr>
      <w:spacing w:before="0" w:after="40"/>
    </w:pPr>
    <w:rPr>
      <w:sz w:val="18"/>
    </w:rPr>
  </w:style>
  <w:style w:type="paragraph" w:styleId="785">
    <w:name w:val="endnote text"/>
    <w:basedOn w:val="706"/>
    <w:link w:val="751"/>
    <w:uiPriority w:val="99"/>
    <w:semiHidden/>
    <w:unhideWhenUsed/>
    <w:rPr>
      <w:sz w:val="20"/>
    </w:rPr>
  </w:style>
  <w:style w:type="paragraph" w:styleId="786">
    <w:name w:val="toc 1"/>
    <w:basedOn w:val="706"/>
    <w:next w:val="706"/>
    <w:uiPriority w:val="39"/>
    <w:unhideWhenUsed/>
    <w:pPr>
      <w:spacing w:before="0" w:after="57"/>
    </w:pPr>
  </w:style>
  <w:style w:type="paragraph" w:styleId="787">
    <w:name w:val="toc 2"/>
    <w:basedOn w:val="706"/>
    <w:next w:val="706"/>
    <w:uiPriority w:val="39"/>
    <w:unhideWhenUsed/>
    <w:pPr>
      <w:ind w:left="283"/>
      <w:spacing w:before="0" w:after="57"/>
    </w:pPr>
  </w:style>
  <w:style w:type="paragraph" w:styleId="788">
    <w:name w:val="toc 3"/>
    <w:basedOn w:val="706"/>
    <w:next w:val="706"/>
    <w:uiPriority w:val="39"/>
    <w:unhideWhenUsed/>
    <w:pPr>
      <w:ind w:left="567"/>
      <w:spacing w:before="0" w:after="57"/>
    </w:pPr>
  </w:style>
  <w:style w:type="paragraph" w:styleId="789">
    <w:name w:val="toc 4"/>
    <w:basedOn w:val="706"/>
    <w:next w:val="706"/>
    <w:uiPriority w:val="39"/>
    <w:unhideWhenUsed/>
    <w:pPr>
      <w:ind w:left="850"/>
      <w:spacing w:before="0" w:after="57"/>
    </w:pPr>
  </w:style>
  <w:style w:type="paragraph" w:styleId="790">
    <w:name w:val="toc 5"/>
    <w:basedOn w:val="706"/>
    <w:next w:val="706"/>
    <w:uiPriority w:val="39"/>
    <w:unhideWhenUsed/>
    <w:pPr>
      <w:ind w:left="1134"/>
      <w:spacing w:before="0" w:after="57"/>
    </w:pPr>
  </w:style>
  <w:style w:type="paragraph" w:styleId="791">
    <w:name w:val="toc 6"/>
    <w:basedOn w:val="706"/>
    <w:next w:val="706"/>
    <w:uiPriority w:val="39"/>
    <w:unhideWhenUsed/>
    <w:pPr>
      <w:ind w:left="1417"/>
      <w:spacing w:before="0" w:after="57"/>
    </w:pPr>
  </w:style>
  <w:style w:type="paragraph" w:styleId="792">
    <w:name w:val="toc 7"/>
    <w:basedOn w:val="706"/>
    <w:next w:val="706"/>
    <w:uiPriority w:val="39"/>
    <w:unhideWhenUsed/>
    <w:pPr>
      <w:ind w:left="1701"/>
      <w:spacing w:before="0" w:after="57"/>
    </w:pPr>
  </w:style>
  <w:style w:type="paragraph" w:styleId="793">
    <w:name w:val="toc 8"/>
    <w:basedOn w:val="706"/>
    <w:next w:val="706"/>
    <w:uiPriority w:val="39"/>
    <w:unhideWhenUsed/>
    <w:pPr>
      <w:ind w:left="1984"/>
      <w:spacing w:before="0" w:after="57"/>
    </w:pPr>
  </w:style>
  <w:style w:type="paragraph" w:styleId="794">
    <w:name w:val="toc 9"/>
    <w:basedOn w:val="706"/>
    <w:next w:val="706"/>
    <w:uiPriority w:val="39"/>
    <w:unhideWhenUsed/>
    <w:pPr>
      <w:ind w:left="2268"/>
      <w:spacing w:before="0" w:after="57"/>
    </w:pPr>
  </w:style>
  <w:style w:type="paragraph" w:styleId="795">
    <w:name w:val="index heading"/>
    <w:basedOn w:val="774"/>
  </w:style>
  <w:style w:type="paragraph" w:styleId="796">
    <w:name w:val="TOC Heading"/>
    <w:uiPriority w:val="39"/>
    <w:unhideWhenUsed/>
    <w:qFormat/>
    <w:pPr>
      <w:jc w:val="left"/>
      <w:spacing w:before="0" w:after="16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97">
    <w:name w:val="table of figures"/>
    <w:basedOn w:val="706"/>
    <w:next w:val="706"/>
    <w:uiPriority w:val="99"/>
    <w:unhideWhenUsed/>
  </w:style>
  <w:style w:type="paragraph" w:styleId="798">
    <w:name w:val="Normal (Web)"/>
    <w:basedOn w:val="706"/>
    <w:uiPriority w:val="99"/>
    <w:unhideWhenUsed/>
    <w:qFormat/>
    <w:pPr>
      <w:spacing w:beforeAutospacing="1" w:afterAutospacing="1"/>
    </w:pPr>
  </w:style>
  <w:style w:type="paragraph" w:styleId="799">
    <w:name w:val="Header and Footer"/>
    <w:basedOn w:val="706"/>
    <w:qFormat/>
  </w:style>
  <w:style w:type="paragraph" w:styleId="800">
    <w:name w:val="Header"/>
    <w:basedOn w:val="706"/>
    <w:link w:val="754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  <w:rPr>
      <w:rFonts w:ascii="Calibri" w:hAnsi="Calibri" w:eastAsia="Calibri" w:cs="Arial" w:asciiTheme="minorHAnsi" w:hAnsiTheme="minorHAnsi" w:eastAsiaTheme="minorHAnsi" w:cstheme="minorBidi"/>
      <w:sz w:val="22"/>
      <w:szCs w:val="22"/>
      <w:lang w:eastAsia="en-US"/>
    </w:rPr>
  </w:style>
  <w:style w:type="paragraph" w:styleId="801">
    <w:name w:val="Footer"/>
    <w:basedOn w:val="706"/>
    <w:link w:val="755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  <w:rPr>
      <w:rFonts w:ascii="Calibri" w:hAnsi="Calibri" w:eastAsia="Calibri" w:cs="Arial" w:asciiTheme="minorHAnsi" w:hAnsiTheme="minorHAnsi" w:eastAsiaTheme="minorHAnsi" w:cstheme="minorBidi"/>
      <w:sz w:val="22"/>
      <w:szCs w:val="22"/>
      <w:lang w:eastAsia="en-US"/>
    </w:rPr>
  </w:style>
  <w:style w:type="paragraph" w:styleId="802">
    <w:name w:val="Balloon Text"/>
    <w:basedOn w:val="706"/>
    <w:link w:val="75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803">
    <w:name w:val="List Paragraph"/>
    <w:basedOn w:val="706"/>
    <w:uiPriority w:val="34"/>
    <w:qFormat/>
    <w:pPr>
      <w:contextualSpacing/>
      <w:ind w:left="720"/>
      <w:spacing w:before="0" w:after="160" w:line="259" w:lineRule="auto"/>
    </w:pPr>
    <w:rPr>
      <w:rFonts w:ascii="Calibri" w:hAnsi="Calibri" w:eastAsia="Calibri" w:cs="Arial" w:asciiTheme="minorHAnsi" w:hAnsiTheme="minorHAnsi" w:eastAsiaTheme="minorHAnsi" w:cstheme="minorBidi"/>
      <w:sz w:val="22"/>
      <w:szCs w:val="22"/>
      <w:lang w:eastAsia="en-US"/>
    </w:rPr>
  </w:style>
  <w:style w:type="paragraph" w:styleId="804">
    <w:name w:val="HTML Preformatted"/>
    <w:basedOn w:val="706"/>
    <w:link w:val="759"/>
    <w:uiPriority w:val="99"/>
    <w:unhideWhenUsed/>
    <w:qFormat/>
    <w:pPr>
      <w:tabs>
        <w:tab w:val="clear" w:pos="708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805" w:customStyle="1">
    <w:name w:val="text-justif"/>
    <w:basedOn w:val="706"/>
    <w:qFormat/>
    <w:pPr>
      <w:spacing w:beforeAutospacing="1" w:afterAutospacing="1"/>
    </w:pPr>
  </w:style>
  <w:style w:type="paragraph" w:styleId="806" w:customStyle="1">
    <w:name w:val="p_namecomment"/>
    <w:basedOn w:val="706"/>
    <w:qFormat/>
    <w:pPr>
      <w:spacing w:beforeAutospacing="1" w:afterAutospacing="1"/>
    </w:pPr>
  </w:style>
  <w:style w:type="paragraph" w:styleId="807" w:customStyle="1">
    <w:name w:val="s_3"/>
    <w:basedOn w:val="706"/>
    <w:qFormat/>
    <w:pPr>
      <w:spacing w:beforeAutospacing="1" w:afterAutospacing="1"/>
    </w:pPr>
  </w:style>
  <w:style w:type="paragraph" w:styleId="808">
    <w:name w:val="annotation text"/>
    <w:basedOn w:val="706"/>
    <w:link w:val="769"/>
    <w:uiPriority w:val="99"/>
    <w:semiHidden/>
    <w:unhideWhenUsed/>
    <w:pPr>
      <w:spacing w:before="0" w:after="160"/>
    </w:pPr>
    <w:rPr>
      <w:rFonts w:ascii="Calibri" w:hAnsi="Calibri" w:eastAsia="Calibri" w:cs="Arial" w:asciiTheme="minorHAnsi" w:hAnsiTheme="minorHAnsi" w:eastAsiaTheme="minorHAnsi" w:cstheme="minorBidi"/>
      <w:sz w:val="20"/>
      <w:szCs w:val="20"/>
      <w:lang w:eastAsia="en-US"/>
    </w:rPr>
  </w:style>
  <w:style w:type="paragraph" w:styleId="809">
    <w:name w:val="annotation subject"/>
    <w:basedOn w:val="808"/>
    <w:next w:val="808"/>
    <w:link w:val="770"/>
    <w:uiPriority w:val="99"/>
    <w:semiHidden/>
    <w:unhideWhenUsed/>
    <w:qFormat/>
    <w:rPr>
      <w:b/>
      <w:bCs/>
    </w:rPr>
  </w:style>
  <w:style w:type="paragraph" w:styleId="810" w:customStyle="1">
    <w:name w:val="Default"/>
    <w:qFormat/>
    <w:pPr>
      <w:jc w:val="left"/>
      <w:spacing w:before="0" w:after="0" w:line="240" w:lineRule="auto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styleId="811" w:customStyle="1">
    <w:name w:val="pt-a-000001"/>
    <w:basedOn w:val="706"/>
    <w:qFormat/>
    <w:pPr>
      <w:spacing w:beforeAutospacing="1" w:afterAutospacing="1"/>
    </w:pPr>
  </w:style>
  <w:style w:type="numbering" w:styleId="812" w:default="1">
    <w:name w:val="Без списка"/>
    <w:uiPriority w:val="99"/>
    <w:semiHidden/>
    <w:unhideWhenUsed/>
    <w:qFormat/>
  </w:style>
  <w:style w:type="table" w:styleId="813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14" w:customStyle="1">
    <w:name w:val="Table Grid Light"/>
    <w:basedOn w:val="8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15">
    <w:name w:val="Plain Table 1"/>
    <w:basedOn w:val="8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6">
    <w:name w:val="Plain Table 2"/>
    <w:basedOn w:val="81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7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18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19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0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1" w:customStyle="1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EC4E6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2" w:customStyle="1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4B286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3" w:customStyle="1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ACACA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4" w:customStyle="1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DA6A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5" w:customStyle="1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1ACDC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6" w:customStyle="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AD19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7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42" w:customStyle="1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eebf6" w:fill="deebf6" w:themeFill="accent1" w:themeFillTint="32"/>
      </w:tcPr>
    </w:tblStylePr>
    <w:tblStylePr w:type="band1Vert">
      <w:rPr>
        <w:sz w:val="22"/>
      </w:rPr>
      <w:tcPr>
        <w:shd w:val="clear" w:color="deebf6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68a2d8" w:fill="68a2d8" w:themeFill="accent1" w:themeFillTint="EA"/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68A2D8" w:themeColor="accent1" w:sz="4" w:space="0"/>
        </w:tcBorders>
      </w:tcPr>
    </w:tblStylePr>
  </w:style>
  <w:style w:type="table" w:styleId="843" w:customStyle="1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184" w:fill="f4b184" w:themeFill="accent2" w:themeFillTint="97"/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4B184" w:themeColor="accent2" w:sz="4" w:space="0"/>
        </w:tcBorders>
      </w:tcPr>
    </w:tblStylePr>
  </w:style>
  <w:style w:type="table" w:styleId="844" w:customStyle="1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845" w:customStyle="1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5" w:fill="ffd865" w:themeFill="accent4" w:themeFillTint="9A"/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D865" w:themeColor="accent4" w:sz="4" w:space="0"/>
        </w:tcBorders>
      </w:tcPr>
    </w:tblStylePr>
  </w:style>
  <w:style w:type="table" w:styleId="846" w:customStyle="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847" w:customStyle="1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848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fill="b3d0eb" w:themeFill="accent1" w:themeFillTint="75"/>
      </w:tcPr>
    </w:tblStylePr>
    <w:tblStylePr w:type="band1Vert">
      <w:tcPr>
        <w:shd w:val="clear" w:color="b3d0eb" w:fill="b3d0eb" w:themeFill="accent1" w:themeFillTint="75"/>
      </w:tcPr>
    </w:tblStylePr>
    <w:tblStylePr w:type="firstCol">
      <w:rPr>
        <w:b/>
        <w:sz w:val="22"/>
      </w:rPr>
      <w:tcPr>
        <w:shd w:val="clear" w:color="5b9bd5" w:fill="5b9bd5" w:themeFill="accent1"/>
      </w:tc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  <w:sz w:val="22"/>
      </w:rPr>
      <w:tcPr>
        <w:shd w:val="clear" w:color="5b9bd5" w:fill="5b9bd5" w:themeFill="accent1"/>
      </w:tcPr>
    </w:tblStylePr>
    <w:tblStylePr w:type="lastRow">
      <w:rPr>
        <w:b/>
        <w:sz w:val="22"/>
      </w:r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sz w:val="22"/>
      </w:rPr>
      <w:tcPr>
        <w:shd w:val="clear" w:color="ed7d31" w:fill="ed7d31" w:themeFill="accent2"/>
      </w:tc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  <w:sz w:val="22"/>
      </w:rPr>
      <w:tcPr>
        <w:shd w:val="clear" w:color="ed7d31" w:fill="ed7d31" w:themeFill="accent2"/>
      </w:tcPr>
    </w:tblStylePr>
    <w:tblStylePr w:type="lastRow">
      <w:rPr>
        <w:b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sz w:val="22"/>
      </w:rPr>
      <w:tcPr>
        <w:shd w:val="clear" w:color="a5a5a5" w:fill="a5a5a5" w:themeFill="accent3"/>
      </w:tc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  <w:sz w:val="22"/>
      </w:rPr>
      <w:tcPr>
        <w:shd w:val="clear" w:color="a5a5a5" w:fill="a5a5a5" w:themeFill="accent3"/>
      </w:tcPr>
    </w:tblStylePr>
    <w:tblStylePr w:type="lastRow">
      <w:rPr>
        <w:b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fill="ffe28a" w:themeFill="accent4" w:themeFillTint="75"/>
      </w:tcPr>
    </w:tblStylePr>
    <w:tblStylePr w:type="band1Vert">
      <w:tcPr>
        <w:shd w:val="clear" w:color="ffe28a" w:fill="ffe28a" w:themeFill="accent4" w:themeFillTint="75"/>
      </w:tcPr>
    </w:tblStylePr>
    <w:tblStylePr w:type="firstCol">
      <w:rPr>
        <w:b/>
        <w:sz w:val="22"/>
      </w:rPr>
      <w:tcPr>
        <w:shd w:val="clear" w:color="ffc000" w:fill="ffc000" w:themeFill="accent4"/>
      </w:tc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  <w:sz w:val="22"/>
      </w:rPr>
      <w:tcPr>
        <w:shd w:val="clear" w:color="ffc000" w:fill="ffc000" w:themeFill="accent4"/>
      </w:tcPr>
    </w:tblStylePr>
    <w:tblStylePr w:type="lastRow">
      <w:rPr>
        <w:b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fill="a9bee4" w:themeFill="accent5" w:themeFillTint="75"/>
      </w:tcPr>
    </w:tblStylePr>
    <w:tblStylePr w:type="band1Vert">
      <w:tcPr>
        <w:shd w:val="clear" w:color="a9bee4" w:fill="a9bee4" w:themeFill="accent5" w:themeFillTint="75"/>
      </w:tcPr>
    </w:tblStylePr>
    <w:tblStylePr w:type="firstCol">
      <w:rPr>
        <w:b/>
        <w:sz w:val="22"/>
      </w:rPr>
      <w:tcPr>
        <w:shd w:val="clear" w:color="4472c4" w:fill="4472c4" w:themeFill="accent5"/>
      </w:tc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  <w:sz w:val="22"/>
      </w:rPr>
      <w:tcPr>
        <w:shd w:val="clear" w:color="4472c4" w:fill="4472c4" w:themeFill="accent5"/>
      </w:tcPr>
    </w:tblStylePr>
    <w:tblStylePr w:type="lastRow">
      <w:rPr>
        <w:b/>
        <w:sz w:val="22"/>
      </w:r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sz w:val="22"/>
      </w:rPr>
      <w:tcPr>
        <w:shd w:val="clear" w:color="70ad47" w:fill="70ad47" w:themeFill="accent6"/>
      </w:tc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  <w:sz w:val="22"/>
      </w:rPr>
      <w:tcPr>
        <w:shd w:val="clear" w:color="70ad47" w:fill="70ad47" w:themeFill="accent6"/>
      </w:tcPr>
    </w:tblStylePr>
    <w:tblStylePr w:type="lastRow">
      <w:rPr>
        <w:b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855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</w:style>
  <w:style w:type="table" w:styleId="856" w:customStyle="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</w:style>
  <w:style w:type="table" w:styleId="857" w:customStyle="1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</w:style>
  <w:style w:type="table" w:styleId="858" w:customStyle="1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</w:style>
  <w:style w:type="table" w:styleId="859" w:customStyle="1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</w:style>
  <w:style w:type="table" w:styleId="860" w:customStyle="1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861" w:customStyle="1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862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877" w:customStyle="1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styleId="878" w:customStyle="1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styleId="879" w:customStyle="1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styleId="880" w:customStyle="1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efbf" w:fill="ffefbf" w:themeFill="accent4" w:themeFillTint="40"/>
      </w:tcPr>
    </w:tblStylePr>
    <w:tblStylePr w:type="band1Vert">
      <w:rPr>
        <w:sz w:val="22"/>
      </w:rPr>
      <w:tcPr>
        <w:shd w:val="clear" w:color="ffefb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styleId="881" w:customStyle="1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cfdbf0" w:fill="cfdbf0" w:themeFill="accent5" w:themeFillTint="40"/>
      </w:tcPr>
    </w:tblStylePr>
    <w:tblStylePr w:type="band1Vert">
      <w:rPr>
        <w:sz w:val="22"/>
      </w:rPr>
      <w:tcPr>
        <w:shd w:val="clear" w:color="cfdbf0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styleId="882" w:customStyle="1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883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4" w:customStyle="1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5" w:customStyle="1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184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6" w:customStyle="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c9c9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7" w:customStyle="1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5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8" w:customStyle="1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sz w:val="22"/>
      </w:rPr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da9db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9" w:customStyle="1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9d08e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0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 w:customStyle="1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2" w:customStyle="1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3" w:customStyle="1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4" w:customStyle="1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efbf" w:fill="ffefbf" w:themeFill="accent4" w:themeFillTint="40"/>
      </w:tcPr>
    </w:tblStylePr>
    <w:tblStylePr w:type="band1Vert">
      <w:rPr>
        <w:sz w:val="22"/>
      </w:rPr>
      <w:tcPr>
        <w:shd w:val="clear" w:color="ffefb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5" w:customStyle="1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cfdbf0" w:fill="cfdbf0" w:themeFill="accent5" w:themeFillTint="40"/>
      </w:tcPr>
    </w:tblStylePr>
    <w:tblStylePr w:type="band1Vert">
      <w:rPr>
        <w:sz w:val="22"/>
      </w:rPr>
      <w:tcPr>
        <w:shd w:val="clear" w:color="cfdbf0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6" w:customStyle="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7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8" w:customStyle="1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9" w:customStyle="1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184" w:fill="f4b184" w:themeFill="accent2" w:themeFillTint="97"/>
        <w:tcBorders>
          <w:top w:val="single" w:color="F4B184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0" w:customStyle="1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C9C9C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1" w:customStyle="1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5" w:fill="ffd865" w:themeFill="accent4" w:themeFillTint="9A"/>
        <w:tcBorders>
          <w:top w:val="single" w:color="FFD865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2" w:customStyle="1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8da9db" w:fill="8da9db" w:themeFill="accent5" w:themeFillTint="9A"/>
        <w:tcBorders>
          <w:top w:val="single" w:color="8DA9DB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3" w:customStyle="1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A9D08E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4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905" w:customStyle="1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06" w:customStyle="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F4B184" w:themeColor="accent2" w:sz="4" w:space="0"/>
        </w:tcBorders>
      </w:tcPr>
    </w:tblStylePr>
  </w:style>
  <w:style w:type="table" w:styleId="907" w:customStyle="1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C9C9C9" w:themeColor="accent3" w:sz="4" w:space="0"/>
        </w:tcBorders>
      </w:tcPr>
    </w:tblStylePr>
  </w:style>
  <w:style w:type="table" w:styleId="908" w:customStyle="1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FFD865" w:themeColor="accent4" w:sz="4" w:space="0"/>
        </w:tcBorders>
      </w:tcPr>
    </w:tblStylePr>
  </w:style>
  <w:style w:type="table" w:styleId="909" w:customStyle="1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8DA9DB" w:themeColor="accent5" w:sz="4" w:space="0"/>
        </w:tcBorders>
      </w:tcPr>
    </w:tblStylePr>
  </w:style>
  <w:style w:type="table" w:styleId="910" w:customStyle="1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A9D08E" w:themeColor="accent6" w:sz="4" w:space="0"/>
        </w:tcBorders>
      </w:tcPr>
    </w:tblStylePr>
  </w:style>
  <w:style w:type="table" w:styleId="911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ned - Accent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19" w:customStyle="1">
    <w:name w:val="Lined - Accent 1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2d8" w:fill="68a2d8" w:themeFill="accent1" w:themeFillTint="EA"/>
      </w:tcPr>
    </w:tblStylePr>
    <w:tblStylePr w:type="firstRow">
      <w:rPr>
        <w:sz w:val="22"/>
      </w:rPr>
      <w:tcPr>
        <w:shd w:val="clear" w:color="68a2d8" w:fill="68a2d8" w:themeFill="accent1" w:themeFillTint="EA"/>
      </w:tcPr>
    </w:tblStylePr>
    <w:tblStylePr w:type="lastCol">
      <w:rPr>
        <w:sz w:val="22"/>
      </w:rPr>
      <w:tcPr>
        <w:shd w:val="clear" w:color="68a2d8" w:fill="68a2d8" w:themeFill="accent1" w:themeFillTint="EA"/>
      </w:tcPr>
    </w:tblStylePr>
    <w:tblStylePr w:type="lastRow">
      <w:rPr>
        <w:sz w:val="22"/>
      </w:rPr>
      <w:tcPr>
        <w:shd w:val="clear" w:color="68a2d8" w:fill="68a2d8" w:themeFill="accent1" w:themeFillTint="EA"/>
      </w:tcPr>
    </w:tblStylePr>
  </w:style>
  <w:style w:type="table" w:styleId="920" w:customStyle="1">
    <w:name w:val="Lined - Accent 2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184" w:fill="f4b184" w:themeFill="accent2" w:themeFillTint="97"/>
      </w:tcPr>
    </w:tblStylePr>
    <w:tblStylePr w:type="firstRow">
      <w:rPr>
        <w:sz w:val="22"/>
      </w:rPr>
      <w:tcPr>
        <w:shd w:val="clear" w:color="f4b184" w:fill="f4b184" w:themeFill="accent2" w:themeFillTint="97"/>
      </w:tcPr>
    </w:tblStylePr>
    <w:tblStylePr w:type="lastCol">
      <w:rPr>
        <w:sz w:val="22"/>
      </w:rPr>
      <w:tcPr>
        <w:shd w:val="clear" w:color="f4b184" w:fill="f4b184" w:themeFill="accent2" w:themeFillTint="97"/>
      </w:tcPr>
    </w:tblStylePr>
    <w:tblStylePr w:type="lastRow">
      <w:rPr>
        <w:sz w:val="22"/>
      </w:rPr>
      <w:tcPr>
        <w:shd w:val="clear" w:color="f4b184" w:fill="f4b184" w:themeFill="accent2" w:themeFillTint="97"/>
      </w:tcPr>
    </w:tblStylePr>
  </w:style>
  <w:style w:type="table" w:styleId="921" w:customStyle="1">
    <w:name w:val="Lined - Accent 3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922" w:customStyle="1">
    <w:name w:val="Lined - Accent 4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2cb" w:fill="fff2cb" w:themeFill="accent4" w:themeFillTint="34"/>
      </w:tcPr>
    </w:tblStylePr>
    <w:tblStylePr w:type="band2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sz w:val="22"/>
      </w:rPr>
      <w:tcPr>
        <w:shd w:val="clear" w:color="ffd865" w:fill="ffd865" w:themeFill="accent4" w:themeFillTint="9A"/>
      </w:tcPr>
    </w:tblStylePr>
    <w:tblStylePr w:type="firstRow">
      <w:rPr>
        <w:sz w:val="22"/>
      </w:rPr>
      <w:tcPr>
        <w:shd w:val="clear" w:color="ffd865" w:fill="ffd865" w:themeFill="accent4" w:themeFillTint="9A"/>
      </w:tcPr>
    </w:tblStylePr>
    <w:tblStylePr w:type="lastCol">
      <w:rPr>
        <w:sz w:val="22"/>
      </w:rPr>
      <w:tcPr>
        <w:shd w:val="clear" w:color="ffd865" w:fill="ffd865" w:themeFill="accent4" w:themeFillTint="9A"/>
      </w:tcPr>
    </w:tblStylePr>
    <w:tblStylePr w:type="lastRow">
      <w:rPr>
        <w:sz w:val="22"/>
      </w:rPr>
      <w:tcPr>
        <w:shd w:val="clear" w:color="ffd865" w:fill="ffd865" w:themeFill="accent4" w:themeFillTint="9A"/>
      </w:tcPr>
    </w:tblStylePr>
  </w:style>
  <w:style w:type="table" w:styleId="923" w:customStyle="1">
    <w:name w:val="Lined - Accent 5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3" w:fill="d8e2f3" w:themeFill="accent5" w:themeFillTint="34"/>
      </w:tcPr>
    </w:tblStylePr>
    <w:tblStylePr w:type="band2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924" w:customStyle="1">
    <w:name w:val="Lined - Accent 6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925" w:customStyle="1">
    <w:name w:val="Bordered &amp; Lined - Accent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26" w:customStyle="1">
    <w:name w:val="Bordered &amp; Lined - Accent 1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2d8" w:fill="68a2d8" w:themeFill="accent1" w:themeFillTint="EA"/>
      </w:tcPr>
    </w:tblStylePr>
    <w:tblStylePr w:type="firstRow">
      <w:rPr>
        <w:sz w:val="22"/>
      </w:rPr>
      <w:tcPr>
        <w:shd w:val="clear" w:color="68a2d8" w:fill="68a2d8" w:themeFill="accent1" w:themeFillTint="EA"/>
      </w:tcPr>
    </w:tblStylePr>
    <w:tblStylePr w:type="lastCol">
      <w:rPr>
        <w:sz w:val="22"/>
      </w:rPr>
      <w:tcPr>
        <w:shd w:val="clear" w:color="68a2d8" w:fill="68a2d8" w:themeFill="accent1" w:themeFillTint="EA"/>
      </w:tcPr>
    </w:tblStylePr>
    <w:tblStylePr w:type="lastRow">
      <w:rPr>
        <w:sz w:val="22"/>
      </w:rPr>
      <w:tcPr>
        <w:shd w:val="clear" w:color="68a2d8" w:fill="68a2d8" w:themeFill="accent1" w:themeFillTint="EA"/>
      </w:tcPr>
    </w:tblStylePr>
  </w:style>
  <w:style w:type="table" w:styleId="927" w:customStyle="1">
    <w:name w:val="Bordered &amp; Lined - Accent 2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184" w:fill="f4b184" w:themeFill="accent2" w:themeFillTint="97"/>
      </w:tcPr>
    </w:tblStylePr>
    <w:tblStylePr w:type="firstRow">
      <w:rPr>
        <w:sz w:val="22"/>
      </w:rPr>
      <w:tcPr>
        <w:shd w:val="clear" w:color="f4b184" w:fill="f4b184" w:themeFill="accent2" w:themeFillTint="97"/>
      </w:tcPr>
    </w:tblStylePr>
    <w:tblStylePr w:type="lastCol">
      <w:rPr>
        <w:sz w:val="22"/>
      </w:rPr>
      <w:tcPr>
        <w:shd w:val="clear" w:color="f4b184" w:fill="f4b184" w:themeFill="accent2" w:themeFillTint="97"/>
      </w:tcPr>
    </w:tblStylePr>
    <w:tblStylePr w:type="lastRow">
      <w:rPr>
        <w:sz w:val="22"/>
      </w:rPr>
      <w:tcPr>
        <w:shd w:val="clear" w:color="f4b184" w:fill="f4b184" w:themeFill="accent2" w:themeFillTint="97"/>
      </w:tcPr>
    </w:tblStylePr>
  </w:style>
  <w:style w:type="table" w:styleId="928" w:customStyle="1">
    <w:name w:val="Bordered &amp; Lined - Accent 3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929" w:customStyle="1">
    <w:name w:val="Bordered &amp; Lined - Accent 4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2cb" w:fill="fff2cb" w:themeFill="accent4" w:themeFillTint="34"/>
      </w:tcPr>
    </w:tblStylePr>
    <w:tblStylePr w:type="band2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sz w:val="22"/>
      </w:rPr>
      <w:tcPr>
        <w:shd w:val="clear" w:color="ffd865" w:fill="ffd865" w:themeFill="accent4" w:themeFillTint="9A"/>
      </w:tcPr>
    </w:tblStylePr>
    <w:tblStylePr w:type="firstRow">
      <w:rPr>
        <w:sz w:val="22"/>
      </w:rPr>
      <w:tcPr>
        <w:shd w:val="clear" w:color="ffd865" w:fill="ffd865" w:themeFill="accent4" w:themeFillTint="9A"/>
      </w:tcPr>
    </w:tblStylePr>
    <w:tblStylePr w:type="lastCol">
      <w:rPr>
        <w:sz w:val="22"/>
      </w:rPr>
      <w:tcPr>
        <w:shd w:val="clear" w:color="ffd865" w:fill="ffd865" w:themeFill="accent4" w:themeFillTint="9A"/>
      </w:tcPr>
    </w:tblStylePr>
    <w:tblStylePr w:type="lastRow">
      <w:rPr>
        <w:sz w:val="22"/>
      </w:rPr>
      <w:tcPr>
        <w:shd w:val="clear" w:color="ffd865" w:fill="ffd865" w:themeFill="accent4" w:themeFillTint="9A"/>
      </w:tcPr>
    </w:tblStylePr>
  </w:style>
  <w:style w:type="table" w:styleId="930" w:customStyle="1">
    <w:name w:val="Bordered &amp; Lined - Accent 5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3" w:fill="d8e2f3" w:themeFill="accent5" w:themeFillTint="34"/>
      </w:tcPr>
    </w:tblStylePr>
    <w:tblStylePr w:type="band2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931" w:customStyle="1">
    <w:name w:val="Bordered &amp; Lined - Accent 6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932" w:customStyle="1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933" w:customStyle="1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34" w:customStyle="1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4B184" w:themeColor="accent2" w:sz="12" w:space="0"/>
        </w:tcBorders>
      </w:tcPr>
    </w:tblStylePr>
    <w:tblStylePr w:type="lastCol">
      <w:rPr>
        <w:sz w:val="22"/>
      </w:rPr>
      <w:tcPr>
        <w:tcBorders>
          <w:left w:val="single" w:color="F4B184" w:themeColor="accent2" w:sz="12" w:space="0"/>
        </w:tcBorders>
      </w:tcPr>
    </w:tblStylePr>
    <w:tblStylePr w:type="lastRow">
      <w:rPr>
        <w:sz w:val="22"/>
      </w:rPr>
      <w:tcPr>
        <w:tcBorders>
          <w:top w:val="single" w:color="F4B184" w:themeColor="accent2" w:sz="12" w:space="0"/>
        </w:tcBorders>
      </w:tcPr>
    </w:tblStylePr>
  </w:style>
  <w:style w:type="table" w:styleId="935" w:customStyle="1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C9C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C9C9C9" w:themeColor="accent3" w:sz="12" w:space="0"/>
        </w:tcBorders>
      </w:tcPr>
    </w:tblStylePr>
    <w:tblStylePr w:type="lastRow">
      <w:rPr>
        <w:sz w:val="22"/>
      </w:rPr>
      <w:tcPr>
        <w:tcBorders>
          <w:top w:val="single" w:color="C9C9C9" w:themeColor="accent3" w:sz="12" w:space="0"/>
        </w:tcBorders>
      </w:tcPr>
    </w:tblStylePr>
  </w:style>
  <w:style w:type="table" w:styleId="936" w:customStyle="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D865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D865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D865" w:themeColor="accent4" w:sz="12" w:space="0"/>
        </w:tcBorders>
      </w:tcPr>
    </w:tblStylePr>
  </w:style>
  <w:style w:type="table" w:styleId="937" w:customStyle="1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DA9DB" w:themeColor="accent5" w:sz="12" w:space="0"/>
        </w:tcBorders>
      </w:tcPr>
    </w:tblStylePr>
    <w:tblStylePr w:type="lastCol">
      <w:rPr>
        <w:sz w:val="22"/>
      </w:rPr>
      <w:tcPr>
        <w:tcBorders>
          <w:left w:val="single" w:color="8DA9DB" w:themeColor="accent5" w:sz="12" w:space="0"/>
        </w:tcBorders>
      </w:tcPr>
    </w:tblStylePr>
    <w:tblStylePr w:type="lastRow">
      <w:rPr>
        <w:sz w:val="22"/>
      </w:rPr>
      <w:tcPr>
        <w:tcBorders>
          <w:top w:val="single" w:color="8DA9DB" w:themeColor="accent5" w:sz="12" w:space="0"/>
        </w:tcBorders>
      </w:tcPr>
    </w:tblStylePr>
  </w:style>
  <w:style w:type="table" w:styleId="938" w:customStyle="1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9D08E" w:themeColor="accent6" w:sz="12" w:space="0"/>
        </w:tcBorders>
      </w:tcPr>
    </w:tblStylePr>
    <w:tblStylePr w:type="lastCol">
      <w:rPr>
        <w:sz w:val="22"/>
      </w:rPr>
      <w:tcPr>
        <w:tcBorders>
          <w:left w:val="single" w:color="A9D08E" w:themeColor="accent6" w:sz="12" w:space="0"/>
        </w:tcBorders>
      </w:tcPr>
    </w:tblStylePr>
    <w:tblStylePr w:type="lastRow">
      <w:rPr>
        <w:sz w:val="22"/>
      </w:rPr>
      <w:tcPr>
        <w:tcBorders>
          <w:top w:val="single" w:color="A9D08E" w:themeColor="accent6" w:sz="12" w:space="0"/>
        </w:tcBorders>
      </w:tcPr>
    </w:tblStylePr>
  </w:style>
  <w:style w:type="table" w:styleId="939">
    <w:name w:val="Table Grid"/>
    <w:basedOn w:val="81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F20E2-AD75-4780-A071-F086AAA75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Екатерина Сергеевна</dc:creator>
  <dc:description/>
  <dc:language>ru-RU</dc:language>
  <cp:lastModifiedBy>obizhaevaoa</cp:lastModifiedBy>
  <cp:revision>27</cp:revision>
  <dcterms:created xsi:type="dcterms:W3CDTF">2025-11-01T09:47:00Z</dcterms:created>
  <dcterms:modified xsi:type="dcterms:W3CDTF">2026-09-04T12:29:01Z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