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jc w:val="center"/>
        <w:rPr>
          <w:rFonts w:ascii="PT Astra Serif" w:hAnsi="PT Astra Serif" w:cs="PT Astra Serif"/>
          <w:b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  <w:t xml:space="preserve">Аналитическая записка по изменению законодательства РФ, 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b/>
          <w:color w:val="000000" w:themeColor="text1"/>
          <w:sz w:val="24"/>
          <w:szCs w:val="24"/>
        </w:rPr>
      </w:r>
    </w:p>
    <w:p>
      <w:pPr>
        <w:pStyle w:val="706"/>
        <w:jc w:val="center"/>
        <w:rPr>
          <w:rFonts w:ascii="PT Astra Serif" w:hAnsi="PT Astra Serif" w:cs="PT Astra Serif"/>
          <w:b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  <w:t xml:space="preserve">а также издание органом нормативного регулирования писем разъяснительного характера, 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b/>
          <w:color w:val="000000" w:themeColor="text1"/>
          <w:sz w:val="24"/>
          <w:szCs w:val="24"/>
        </w:rPr>
      </w:r>
    </w:p>
    <w:p>
      <w:pPr>
        <w:pStyle w:val="706"/>
        <w:jc w:val="center"/>
        <w:rPr>
          <w:rFonts w:ascii="PT Astra Serif" w:hAnsi="PT Astra Serif" w:cs="PT Astra Serif"/>
          <w:b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  <w:t xml:space="preserve">касающихся деятельности Филиала, изданных (опубликованных) в сентябре 2026 года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b/>
          <w:color w:val="000000" w:themeColor="text1"/>
          <w:sz w:val="24"/>
          <w:szCs w:val="24"/>
        </w:rPr>
      </w:r>
    </w:p>
    <w:p>
      <w:pPr>
        <w:pStyle w:val="706"/>
        <w:jc w:val="center"/>
        <w:rPr>
          <w:rFonts w:ascii="PT Astra Serif" w:hAnsi="PT Astra Serif" w:cs="PT Astra Serif"/>
          <w:b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b/>
          <w:color w:val="000000" w:themeColor="text1"/>
          <w:sz w:val="24"/>
          <w:szCs w:val="24"/>
        </w:rPr>
      </w:r>
    </w:p>
    <w:tbl>
      <w:tblPr>
        <w:tblStyle w:val="939"/>
        <w:tblW w:w="1516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2721"/>
        <w:gridCol w:w="4730"/>
        <w:gridCol w:w="6892"/>
      </w:tblGrid>
      <w:tr>
        <w:tblPrEx/>
        <w:trPr>
          <w:trHeight w:val="1155"/>
        </w:trPr>
        <w:tc>
          <w:tcPr>
            <w:tcW w:w="817" w:type="dxa"/>
            <w:textDirection w:val="lrTb"/>
            <w:noWrap w:val="false"/>
          </w:tcPr>
          <w:p>
            <w:pPr>
              <w:pStyle w:val="706"/>
              <w:jc w:val="center"/>
              <w:spacing w:before="0" w:after="60"/>
              <w:widowControl/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  <w:szCs w:val="24"/>
                <w:lang w:val="ru-RU" w:bidi="ar-SA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721" w:type="dxa"/>
            <w:textDirection w:val="lrTb"/>
            <w:noWrap w:val="false"/>
          </w:tcPr>
          <w:p>
            <w:pPr>
              <w:pStyle w:val="706"/>
              <w:jc w:val="center"/>
              <w:spacing w:before="0" w:after="60"/>
              <w:widowControl/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  <w:szCs w:val="24"/>
                <w:lang w:val="ru-RU" w:bidi="ar-SA"/>
              </w:rPr>
              <w:t xml:space="preserve">Наименование органа, издавшего документ, дата вступления в силу</w:t>
            </w: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4730" w:type="dxa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  <w:szCs w:val="24"/>
                <w:lang w:val="ru-RU" w:bidi="ar-SA"/>
              </w:rPr>
              <w:t xml:space="preserve">Источник нормативного регулирования:</w:t>
            </w: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  <w:szCs w:val="24"/>
                <w:lang w:val="ru-RU" w:bidi="ar-SA"/>
              </w:rPr>
              <w:t xml:space="preserve">Нормативно-правовые акты, разъяснительные письма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6892" w:type="dxa"/>
            <w:textDirection w:val="lrTb"/>
            <w:noWrap w:val="false"/>
          </w:tcPr>
          <w:p>
            <w:pPr>
              <w:pStyle w:val="706"/>
              <w:jc w:val="both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Содержание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212121"/>
                <w:spacing w:val="1"/>
                <w:sz w:val="24"/>
                <w:szCs w:val="24"/>
                <w:highlight w:val="white"/>
              </w:rPr>
              <w:t xml:space="preserve">Правительство Российской Федерации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PT Astra Serif" w:hAnsi="PT Astra Serif" w:cs="PT Astra Serif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1"/>
              </w:rPr>
              <w:t xml:space="preserve">Законопроект 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pacing w:val="1"/>
              </w:rPr>
              <w:t xml:space="preserve">№ 1336436-8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cs="PT Astra Serif"/>
                <w:color w:val="000000" w:themeColor="text1"/>
              </w:rPr>
            </w:r>
          </w:p>
          <w:p>
            <w:pPr>
              <w:ind w:left="0" w:right="0" w:firstLine="0"/>
              <w:jc w:val="center"/>
              <w:spacing w:before="0" w:after="0"/>
              <w:shd w:val="clear" w:color="ffffff" w:fill="ffffff"/>
              <w:rPr>
                <w:rFonts w:ascii="PT Astra Serif" w:hAnsi="PT Astra Serif" w:cs="PT Astra Serif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1"/>
              </w:rPr>
              <w:t xml:space="preserve">«О внесении изменений в Федеральный закон «О государственной регистрации недвижимости»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</w:p>
          <w:p>
            <w:pPr>
              <w:ind w:left="0" w:right="0" w:firstLine="0"/>
              <w:jc w:val="center"/>
              <w:spacing w:before="0"/>
              <w:shd w:val="clear" w:color="ffffff" w:fill="ffffff"/>
              <w:rPr>
                <w:rFonts w:ascii="PT Astra Serif" w:hAnsi="PT Astra Serif" w:cs="PT Astra Serif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pacing w:val="1"/>
              </w:rPr>
              <w:t xml:space="preserve">(в части упрощения осуществления государственного кадастрового учета </w:t>
              <w:br/>
              <w:t xml:space="preserve">и изменения сведений ЕГРН в отношении зданий, сооружений в связи с изменением площади таких объектов недвижимости)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</w:rPr>
              <w:t xml:space="preserve">З</w:t>
            </w:r>
            <w:r>
              <w:rPr>
                <w:rFonts w:ascii="Times New Roman" w:hAnsi="Times New Roman"/>
              </w:rPr>
              <w:t xml:space="preserve">аконопроект </w:t>
            </w:r>
            <w:r>
              <w:rPr>
                <w:rFonts w:ascii="Times New Roman" w:hAnsi="Times New Roman"/>
              </w:rPr>
              <w:t xml:space="preserve">предусматривает </w:t>
            </w:r>
            <w:r>
              <w:rPr>
                <w:rFonts w:ascii="Times New Roman" w:hAnsi="Times New Roman"/>
              </w:rPr>
              <w:t xml:space="preserve">закреп</w:t>
            </w:r>
            <w:r>
              <w:rPr>
                <w:rFonts w:ascii="Times New Roman" w:hAnsi="Times New Roman"/>
              </w:rPr>
              <w:t xml:space="preserve">ление</w:t>
            </w:r>
            <w:r>
              <w:rPr>
                <w:rFonts w:ascii="Times New Roman" w:hAnsi="Times New Roman"/>
              </w:rPr>
              <w:t xml:space="preserve"> возможност</w:t>
            </w:r>
            <w:r>
              <w:rPr>
                <w:rFonts w:ascii="Times New Roman" w:hAnsi="Times New Roman"/>
              </w:rPr>
              <w:t xml:space="preserve">и</w:t>
            </w:r>
            <w:r>
              <w:rPr>
                <w:rFonts w:ascii="Times New Roman" w:hAnsi="Times New Roman"/>
              </w:rPr>
              <w:t xml:space="preserve"> осуществления государственного кадастрового учета в связи </w:t>
              <w:br/>
              <w:t xml:space="preserve">с изменением (уточнением) площади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здани</w:t>
            </w:r>
            <w:r>
              <w:rPr>
                <w:rFonts w:ascii="Times New Roman" w:hAnsi="Times New Roman"/>
              </w:rPr>
              <w:t xml:space="preserve">й</w:t>
            </w:r>
            <w:r>
              <w:rPr>
                <w:rFonts w:ascii="Times New Roman" w:hAnsi="Times New Roman"/>
              </w:rPr>
              <w:t xml:space="preserve">, сооружени</w:t>
            </w:r>
            <w:r>
              <w:rPr>
                <w:rFonts w:ascii="Times New Roman" w:hAnsi="Times New Roman"/>
              </w:rPr>
              <w:t xml:space="preserve">й</w:t>
            </w:r>
            <w:r>
              <w:rPr>
                <w:rFonts w:ascii="Times New Roman" w:hAnsi="Times New Roman"/>
              </w:rPr>
              <w:t xml:space="preserve">, расположенных в них помещений, не являющимся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результатом реконструкции таких объектов, причиной которого является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изменение правил подсчета площади таких объектов недвижимости, а также уточн</w:t>
            </w:r>
            <w:r>
              <w:rPr>
                <w:rFonts w:ascii="Times New Roman" w:hAnsi="Times New Roman"/>
              </w:rPr>
              <w:t xml:space="preserve">ение</w:t>
            </w:r>
            <w:r>
              <w:rPr>
                <w:rFonts w:ascii="Times New Roman" w:hAnsi="Times New Roman"/>
              </w:rPr>
              <w:t xml:space="preserve"> порядк</w:t>
            </w:r>
            <w:r>
              <w:rPr>
                <w:rFonts w:ascii="Times New Roman" w:hAnsi="Times New Roman"/>
              </w:rPr>
              <w:t xml:space="preserve">а</w:t>
            </w:r>
            <w:r>
              <w:rPr>
                <w:rFonts w:ascii="Times New Roman" w:hAnsi="Times New Roman"/>
              </w:rPr>
              <w:t xml:space="preserve"> внесения в ЕГРН сведений о ранее учтенных объектах недвижимости при наличии указанных обстоятельств.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</w:rPr>
              <w:t xml:space="preserve">П</w:t>
            </w:r>
            <w:r>
              <w:rPr>
                <w:rFonts w:ascii="PT Astra Serif" w:hAnsi="PT Astra Serif" w:eastAsia="PT Astra Serif" w:cs="PT Astra Serif"/>
              </w:rPr>
              <w:t xml:space="preserve">редлагается дополнить: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ind w:left="0" w:firstLine="0"/>
              <w:jc w:val="both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- статьи 24 и 69 Закона № 218-ФЗ положениями, устанавливающими возможность </w:t>
            </w:r>
            <w:r>
              <w:rPr>
                <w:rFonts w:ascii="PT Astra Serif" w:hAnsi="PT Astra Serif" w:eastAsia="PT Astra Serif" w:cs="PT Astra Serif"/>
              </w:rPr>
              <w:t xml:space="preserve">осуществления государственного кадастрового учета или</w:t>
            </w:r>
            <w:r>
              <w:rPr>
                <w:rFonts w:ascii="PT Astra Serif" w:hAnsi="PT Astra Serif" w:eastAsia="PT Astra Serif" w:cs="PT Astra Serif"/>
              </w:rPr>
              <w:t xml:space="preserve"> внесения в ЕГРН сведений о ран</w:t>
            </w:r>
            <w:r>
              <w:rPr>
                <w:rFonts w:ascii="PT Astra Serif" w:hAnsi="PT Astra Serif" w:eastAsia="PT Astra Serif" w:cs="PT Astra Serif"/>
              </w:rPr>
              <w:t xml:space="preserve">ее учтенных объектах недвижимости </w:t>
              <w:br/>
              <w:t xml:space="preserve">на основании представляемых правообладателями зданий, сооружений или помещений соответствующих заявлений, правоустанавливающих документов (при внесении сведений </w:t>
              <w:br/>
              <w:t xml:space="preserve">о ранее учтенных объектах недвижимости) и технических планов </w:t>
            </w:r>
            <w:r>
              <w:rPr>
                <w:rFonts w:ascii="PT Astra Serif" w:hAnsi="PT Astra Serif" w:eastAsia="PT Astra Serif" w:cs="PT Astra Serif"/>
              </w:rPr>
              <w:t xml:space="preserve">в связи с не являющимся результатом реконструкции изменением (уточнением) площади здания, соору</w:t>
            </w:r>
            <w:r>
              <w:rPr>
                <w:rFonts w:ascii="PT Astra Serif" w:hAnsi="PT Astra Serif" w:eastAsia="PT Astra Serif" w:cs="PT Astra Serif"/>
              </w:rPr>
              <w:t xml:space="preserve">жения, расположенных в них помещений, причиной которого является изменение правил подсчета площади таких объектов недвижимости или выявление (обнаружение) в техническом паспорте объекта капитального строительства, изготовленном до 1.03.2013, ошибки </w:t>
            </w:r>
            <w:r>
              <w:rPr>
                <w:rFonts w:ascii="PT Astra Serif" w:hAnsi="PT Astra Serif" w:eastAsia="PT Astra Serif" w:cs="PT Astra Serif"/>
              </w:rPr>
              <w:t xml:space="preserve">в значении площади объекта.</w:t>
            </w:r>
            <w:r>
              <w:rPr>
                <w:rFonts w:ascii="PT Astra Serif" w:hAnsi="PT Astra Serif" w:cs="PT Astra Serif"/>
              </w:rPr>
            </w:r>
          </w:p>
          <w:p>
            <w:pPr>
              <w:ind w:left="0" w:firstLine="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- </w:t>
            </w:r>
            <w:r>
              <w:rPr>
                <w:rFonts w:ascii="PT Astra Serif" w:hAnsi="PT Astra Serif" w:eastAsia="PT Astra Serif" w:cs="PT Astra Serif"/>
              </w:rPr>
              <w:t xml:space="preserve">статью 70 </w:t>
            </w:r>
            <w:r>
              <w:rPr>
                <w:rFonts w:ascii="PT Astra Serif" w:hAnsi="PT Astra Serif" w:eastAsia="PT Astra Serif" w:cs="PT Astra Serif"/>
              </w:rPr>
              <w:t xml:space="preserve">Закона № 218-ФЗ положениями об особенностях государственного кадастрового учета зданий, сооружений </w:t>
              <w:br/>
              <w:t xml:space="preserve">в целях внесения в ЕГРН указанных сведений без подготовки технического плана, п</w:t>
            </w:r>
            <w:r>
              <w:rPr>
                <w:rFonts w:ascii="PT Astra Serif" w:hAnsi="PT Astra Serif" w:eastAsia="PT Astra Serif" w:cs="PT Astra Serif"/>
              </w:rPr>
              <w:t xml:space="preserve">редусмотрев возможность внесения </w:t>
              <w:br/>
              <w:t xml:space="preserve">в ЕГРН таких сведений не только на основании соответствующего заявления собственника объекта недвижимости (его представителя), но и самостоятельно органом регистрации прав на основании документов, представленных бюджетными </w:t>
            </w:r>
            <w:r>
              <w:rPr>
                <w:rFonts w:ascii="PT Astra Serif" w:hAnsi="PT Astra Serif" w:eastAsia="PT Astra Serif" w:cs="PT Astra Serif"/>
              </w:rPr>
              <w:t xml:space="preserve">учреждениями, созданными субъектами Российской Федерации и наделенными полномочиями, связанными с определением кадастровой стоимости, поскольку указанные бюджетные</w:t>
            </w:r>
            <w:r>
              <w:rPr>
                <w:rFonts w:ascii="PT Astra Serif" w:hAnsi="PT Astra Serif" w:eastAsia="PT Astra Serif" w:cs="PT Astra Serif"/>
              </w:rPr>
              <w:t xml:space="preserve"> учреждения </w:t>
              <w:br/>
              <w:t xml:space="preserve">в рамках подготовки к проведению государственной кадастровой оценки осуществляют сбор, обработку, систематизацию и накопление информации, необходимой для определения кадастровой стоимости, в том числе путем направления соответствующих запросов.</w:t>
            </w:r>
            <w:r>
              <w:rPr>
                <w:rFonts w:ascii="PT Astra Serif" w:hAnsi="PT Astra Serif" w:cs="PT Astra Serif"/>
              </w:rPr>
            </w:r>
            <w:r/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  <w:lang w:val="ru-RU" w:bidi="ar-SA"/>
              </w:rPr>
              <w:t xml:space="preserve">Росреестр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  <w:lang w:val="ru-RU" w:bidi="ar-SA"/>
              </w:rPr>
            </w:r>
          </w:p>
          <w:p>
            <w:pPr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  <w:lang w:val="ru-RU" w:bidi="ar-SA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  <w:lang w:val="ru-RU" w:bidi="ar-SA"/>
              </w:rPr>
            </w:r>
          </w:p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11.10.2026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Приказ Росреестра </w:t>
              <w:br/>
              <w:t xml:space="preserve">от 25.08.2026 № П/0386/26</w:t>
              <w:br/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«О внесении изменений в пункт 6 Порядка ведения фонда данных государственной кадастровой оценки и предоставления сведений, включенных в этот фонд, утвержденного приказом Федеральной службы государственной регистрации, кадастра и картографии от 6 августа 20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20 г. № П/0278»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</w:r>
          </w:p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зарегистрировано в Минюсте России 29.09.2026 № 88519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Дополнен перечень сведений, включаемых в фонд данных государственной кадастровой оценки.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Предусмотрено, что </w:t>
              <w:br/>
              <w:t xml:space="preserve">в перечень включаются сведения, содержащиеся в решении </w:t>
              <w:br/>
              <w:t xml:space="preserve">об определении кадастровой стоимости объекта недвижимости </w:t>
              <w:br/>
              <w:t xml:space="preserve">в размере его рыночной стоимости, принятом в соответствии </w:t>
              <w:br/>
              <w:t xml:space="preserve">со статьей 22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Федерального закона от 03.07.2016 № 237-ФЗ</w:t>
              <w:br/>
              <w:t xml:space="preserve">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О государственной кадастровой оценке».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</w:r>
          </w:p>
        </w:tc>
      </w:tr>
      <w:tr>
        <w:tblPrEx/>
        <w:trPr>
          <w:trHeight w:val="32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2721" w:type="dxa"/>
            <w:vMerge w:val="restart"/>
            <w:textDirection w:val="lrTb"/>
            <w:noWrap w:val="false"/>
          </w:tcPr>
          <w:p>
            <w:pPr>
              <w:pStyle w:val="706"/>
              <w:jc w:val="center"/>
              <w:spacing w:before="0" w:after="0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  <w:t xml:space="preserve">Росреестр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lang w:val="ru-RU" w:bidi="ar-SA"/>
              </w:rPr>
            </w:r>
          </w:p>
        </w:tc>
        <w:tc>
          <w:tcPr>
            <w:tcW w:w="473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Письмо Росреестра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</w:r>
          </w:p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от 08.09.2026 № 11-9825-АБ/26</w:t>
              <w:br/>
              <w:t xml:space="preserve">«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</w:rPr>
              <w:t xml:space="preserve">О применении положения</w:t>
              <w:br/>
              <w:t xml:space="preserve"> части 6 статьи 16 Федерального закона </w:t>
              <w:br/>
              <w:t xml:space="preserve">от 31.07.2025 № 295-ФЗ»</w:t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689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Разъяснены особенности перевода земельного участка, находящегося за границами населенного пункта, предоставленного для размещения линейного объекта, </w:t>
              <w:br/>
              <w:t xml:space="preserve">из состава земель одной категории в другую.</w:t>
              <w:br/>
              <w:t xml:space="preserve">В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 соответствии с частью 6 статьи 16 Федерального закона </w:t>
              <w:br/>
              <w:t xml:space="preserve">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ий законодательных актов Российской Федерации» земельный участок, находящийся за границами населенного пункта, предоставленный для размещения линейного объекта федерального, регионального или местного значения и его неотъемлемых технологических частей, пер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еводится из состава земель одной категории в категорию земель промышленности, энергетики, транспорта, связи, радиовещания, телевидения, информатики, земель </w:t>
              <w:br/>
              <w:t xml:space="preserve">для обеспечения космической деятельности, земель обороны, безопасности и земель иного специального н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азначения </w:t>
              <w:br/>
              <w:t xml:space="preserve">без принятия акта о переводе земель из одной категории </w:t>
              <w:br/>
              <w:t xml:space="preserve">в другую, за исключением случаев, если в соответствии </w:t>
              <w:br/>
              <w:t xml:space="preserve">с федеральным законом не допускается размещение таких линейных объектов в границах определенных земель, зон,</w:t>
              <w:br/>
              <w:t xml:space="preserve">на определенной территории.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Изменения в сведения о категории земель земельного участка, указанных в ч. 6 ст. 16 Закона </w:t>
              <w:br/>
              <w:t xml:space="preserve">№ 295-ФЗ, вносятся в ЕГРН органом регистрации прав </w:t>
              <w:br/>
              <w:t xml:space="preserve">по заявлению правообладателя такого земельного участка.</w:t>
              <w:br/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Разъясняется, что положения ч. 6 ст. 16 Закона № 295-ФЗ применяются в отношении земельных участков, предоставленных после 01.03.2026.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Также указано о запрете на перевод земельных участков </w:t>
              <w:br/>
              <w:t xml:space="preserve">в категорию земель промышленности и иного специального назначения, если в соответствии с федеральным законом </w:t>
              <w:br/>
              <w:t xml:space="preserve">не допускается размещение таких линейных объектов </w:t>
              <w:br/>
              <w:t xml:space="preserve">в границах определенных земель, зо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н, на определенной территории (например, запрет на изменение целевого назначения защитных лесов, особо охраняемых природных территорий и т.д.).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PT Astra Serif" w:hAnsi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В связи с этим государственному регистратору прав </w:t>
              <w:br/>
              <w:t xml:space="preserve">при принятии решения о внесении изменений в сведения </w:t>
              <w:br/>
              <w:t xml:space="preserve">о категории земель земельного участка в порядке, предусмотренном частью 6 статьи 16 Закона N 295-ФЗ, следует получить информацию от соответствующих орган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</w:rPr>
              <w:t xml:space="preserve">ов о наличии или отсутствии запретов на размещение линейных объектов </w:t>
              <w:br/>
              <w:t xml:space="preserve">в границах определенных земель, зон, на определенной территории.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b/>
                <w:color w:val="000000" w:themeColor="text1"/>
                <w:sz w:val="24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</w:tbl>
    <w:p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6838" w:h="11906" w:orient="landscape"/>
      <w:pgMar w:top="851" w:right="567" w:bottom="426" w:left="1134" w:header="708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Courier New">
    <w:panose1 w:val="020704090202050204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PT Astra Serif">
    <w:panose1 w:val="020A0603040505020204"/>
  </w:font>
  <w:font w:name="Arial">
    <w:panose1 w:val="020B0604020202020204"/>
  </w:font>
  <w:font w:name="Calibri Light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 xml:space="preserve">3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80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/>
      <w:suff w:val="tab"/>
      <w:lvlText w:val="·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2">
      <w:start w:val="1"/>
      <w:numFmt w:val="bullet"/>
      <w:isLgl/>
      <w:suff w:val="tab"/>
      <w:lvlText w:val="·"/>
      <w:lvlJc w:val="left"/>
      <w:pPr>
        <w:ind w:left="2149" w:hanging="360"/>
        <w:tabs>
          <w:tab w:val="num" w:pos="0" w:leader="none"/>
        </w:tabs>
      </w:pPr>
      <w:rPr>
        <w:rFonts w:hint="default" w:ascii="Symbol" w:hAnsi="Symbol" w:cs="Symbol"/>
      </w:rPr>
    </w:lvl>
    <w:lvl w:ilvl="3">
      <w:start w:val="1"/>
      <w:numFmt w:val="bullet"/>
      <w:isLgl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5">
      <w:start w:val="1"/>
      <w:numFmt w:val="bullet"/>
      <w:isLgl/>
      <w:suff w:val="tab"/>
      <w:lvlText w:val="·"/>
      <w:lvlJc w:val="left"/>
      <w:pPr>
        <w:ind w:left="4309" w:hanging="360"/>
        <w:tabs>
          <w:tab w:val="num" w:pos="0" w:leader="none"/>
        </w:tabs>
      </w:pPr>
      <w:rPr>
        <w:rFonts w:hint="default" w:ascii="Symbol" w:hAnsi="Symbol" w:cs="Symbol"/>
      </w:rPr>
    </w:lvl>
    <w:lvl w:ilvl="6">
      <w:start w:val="1"/>
      <w:numFmt w:val="bullet"/>
      <w:isLgl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8">
      <w:start w:val="1"/>
      <w:numFmt w:val="bullet"/>
      <w:isLgl/>
      <w:suff w:val="tab"/>
      <w:lvlText w:val="·"/>
      <w:lvlJc w:val="left"/>
      <w:pPr>
        <w:ind w:left="6469" w:hanging="360"/>
        <w:tabs>
          <w:tab w:val="num" w:pos="0" w:leader="none"/>
        </w:tabs>
      </w:pPr>
      <w:rPr>
        <w:rFonts w:hint="default" w:ascii="Symbol" w:hAnsi="Symbol" w:cs="Symbol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05">
    <w:name w:val="No List"/>
    <w:uiPriority w:val="99"/>
    <w:semiHidden/>
    <w:unhideWhenUsed/>
  </w:style>
  <w:style w:type="paragraph" w:styleId="706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07">
    <w:name w:val="Heading 1"/>
    <w:basedOn w:val="706"/>
    <w:next w:val="706"/>
    <w:link w:val="762"/>
    <w:uiPriority w:val="9"/>
    <w:qFormat/>
    <w:pPr>
      <w:keepLines/>
      <w:keepNext/>
      <w:spacing w:before="240" w:after="0" w:line="259" w:lineRule="auto"/>
      <w:outlineLvl w:val="0"/>
    </w:pPr>
    <w:rPr>
      <w:rFonts w:ascii="Calibri Light" w:hAnsi="Calibri Light" w:eastAsia="Arial" w:cs="Arial"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paragraph" w:styleId="708">
    <w:name w:val="Heading 2"/>
    <w:basedOn w:val="706"/>
    <w:next w:val="706"/>
    <w:link w:val="73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9">
    <w:name w:val="Heading 3"/>
    <w:basedOn w:val="706"/>
    <w:next w:val="706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0">
    <w:name w:val="Heading 4"/>
    <w:basedOn w:val="706"/>
    <w:next w:val="706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706"/>
    <w:next w:val="706"/>
    <w:link w:val="73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2">
    <w:name w:val="Heading 6"/>
    <w:basedOn w:val="706"/>
    <w:next w:val="706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3">
    <w:name w:val="Heading 7"/>
    <w:basedOn w:val="706"/>
    <w:next w:val="706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6"/>
    <w:next w:val="706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706"/>
    <w:next w:val="706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2 Char"/>
    <w:basedOn w:val="731"/>
    <w:uiPriority w:val="9"/>
    <w:qFormat/>
    <w:rPr>
      <w:rFonts w:ascii="Liberation Sans" w:hAnsi="Liberation Sans" w:eastAsia="Liberation Sans" w:cs="Liberation Sans"/>
      <w:sz w:val="34"/>
    </w:rPr>
  </w:style>
  <w:style w:type="character" w:styleId="717">
    <w:name w:val="Heading 3 Char"/>
    <w:basedOn w:val="731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718">
    <w:name w:val="Heading 4 Char"/>
    <w:basedOn w:val="731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9">
    <w:name w:val="Heading 5 Char"/>
    <w:basedOn w:val="731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0">
    <w:name w:val="Heading 6 Char"/>
    <w:basedOn w:val="731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1">
    <w:name w:val="Heading 7 Char"/>
    <w:basedOn w:val="731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2">
    <w:name w:val="Heading 8 Char"/>
    <w:basedOn w:val="731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3">
    <w:name w:val="Heading 9 Char"/>
    <w:basedOn w:val="731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4">
    <w:name w:val="Title Char"/>
    <w:basedOn w:val="731"/>
    <w:uiPriority w:val="10"/>
    <w:qFormat/>
    <w:rPr>
      <w:sz w:val="48"/>
      <w:szCs w:val="48"/>
    </w:rPr>
  </w:style>
  <w:style w:type="character" w:styleId="725">
    <w:name w:val="Subtitle Char"/>
    <w:basedOn w:val="731"/>
    <w:uiPriority w:val="11"/>
    <w:qFormat/>
    <w:rPr>
      <w:sz w:val="24"/>
      <w:szCs w:val="24"/>
    </w:rPr>
  </w:style>
  <w:style w:type="character" w:styleId="726">
    <w:name w:val="Quote Char"/>
    <w:link w:val="782"/>
    <w:uiPriority w:val="29"/>
    <w:qFormat/>
    <w:rPr>
      <w:i/>
    </w:rPr>
  </w:style>
  <w:style w:type="character" w:styleId="727">
    <w:name w:val="Intense Quote Char"/>
    <w:link w:val="783"/>
    <w:uiPriority w:val="30"/>
    <w:qFormat/>
    <w:rPr>
      <w:i/>
    </w:rPr>
  </w:style>
  <w:style w:type="character" w:styleId="728">
    <w:name w:val="Caption Char"/>
    <w:basedOn w:val="731"/>
    <w:uiPriority w:val="35"/>
    <w:qFormat/>
    <w:rPr>
      <w:b/>
      <w:bCs/>
      <w:color w:val="4f81bd" w:themeColor="accent1"/>
      <w:sz w:val="18"/>
      <w:szCs w:val="18"/>
    </w:rPr>
  </w:style>
  <w:style w:type="character" w:styleId="729">
    <w:name w:val="Footnote Text Char"/>
    <w:uiPriority w:val="99"/>
    <w:qFormat/>
    <w:rPr>
      <w:sz w:val="18"/>
    </w:rPr>
  </w:style>
  <w:style w:type="character" w:styleId="730">
    <w:name w:val="Endnote Text Char"/>
    <w:uiPriority w:val="99"/>
    <w:qFormat/>
    <w:rPr>
      <w:sz w:val="20"/>
    </w:rPr>
  </w:style>
  <w:style w:type="character" w:styleId="731" w:default="1">
    <w:name w:val="Default Paragraph Font"/>
    <w:uiPriority w:val="1"/>
    <w:semiHidden/>
    <w:unhideWhenUsed/>
    <w:qFormat/>
  </w:style>
  <w:style w:type="character" w:styleId="732" w:customStyle="1">
    <w:name w:val="Heading 1 Char"/>
    <w:basedOn w:val="731"/>
    <w:uiPriority w:val="9"/>
    <w:qFormat/>
    <w:rPr>
      <w:rFonts w:ascii="Arial" w:hAnsi="Arial" w:eastAsia="Arial" w:cs="Arial"/>
      <w:sz w:val="40"/>
      <w:szCs w:val="40"/>
    </w:rPr>
  </w:style>
  <w:style w:type="character" w:styleId="733" w:customStyle="1">
    <w:name w:val="Заголовок 2 Знак"/>
    <w:basedOn w:val="731"/>
    <w:uiPriority w:val="9"/>
    <w:qFormat/>
    <w:rPr>
      <w:rFonts w:ascii="Arial" w:hAnsi="Arial" w:eastAsia="Arial" w:cs="Arial"/>
      <w:sz w:val="34"/>
    </w:rPr>
  </w:style>
  <w:style w:type="character" w:styleId="734" w:customStyle="1">
    <w:name w:val="Заголовок 3 Знак"/>
    <w:basedOn w:val="731"/>
    <w:uiPriority w:val="9"/>
    <w:qFormat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basedOn w:val="73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Заголовок 5 Знак"/>
    <w:basedOn w:val="73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Заголовок 6 Знак"/>
    <w:basedOn w:val="73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Заголовок 7 Знак"/>
    <w:basedOn w:val="73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Заголовок 8 Знак"/>
    <w:basedOn w:val="73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Заголовок 9 Знак"/>
    <w:basedOn w:val="73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41" w:customStyle="1">
    <w:name w:val="Название Знак"/>
    <w:basedOn w:val="731"/>
    <w:uiPriority w:val="10"/>
    <w:qFormat/>
    <w:rPr>
      <w:sz w:val="48"/>
      <w:szCs w:val="48"/>
    </w:rPr>
  </w:style>
  <w:style w:type="character" w:styleId="742" w:customStyle="1">
    <w:name w:val="Подзаголовок Знак"/>
    <w:basedOn w:val="731"/>
    <w:uiPriority w:val="11"/>
    <w:qFormat/>
    <w:rPr>
      <w:sz w:val="24"/>
      <w:szCs w:val="24"/>
    </w:rPr>
  </w:style>
  <w:style w:type="character" w:styleId="743" w:customStyle="1">
    <w:name w:val="Цитата 2 Знак"/>
    <w:link w:val="782"/>
    <w:uiPriority w:val="29"/>
    <w:qFormat/>
    <w:rPr>
      <w:i/>
    </w:rPr>
  </w:style>
  <w:style w:type="character" w:styleId="744" w:customStyle="1">
    <w:name w:val="Выделенная цитата Знак"/>
    <w:link w:val="783"/>
    <w:uiPriority w:val="30"/>
    <w:qFormat/>
    <w:rPr>
      <w:i/>
    </w:rPr>
  </w:style>
  <w:style w:type="character" w:styleId="745" w:customStyle="1">
    <w:name w:val="Header Char"/>
    <w:basedOn w:val="731"/>
    <w:uiPriority w:val="99"/>
    <w:qFormat/>
  </w:style>
  <w:style w:type="character" w:styleId="746" w:customStyle="1">
    <w:name w:val="Footer Char"/>
    <w:basedOn w:val="731"/>
    <w:uiPriority w:val="99"/>
    <w:qFormat/>
  </w:style>
  <w:style w:type="character" w:styleId="747" w:customStyle="1">
    <w:name w:val="Название объекта Знак"/>
    <w:basedOn w:val="731"/>
    <w:uiPriority w:val="35"/>
    <w:qFormat/>
    <w:rPr>
      <w:b/>
      <w:bCs/>
      <w:color w:val="5b9bd5" w:themeColor="accent1"/>
      <w:sz w:val="18"/>
      <w:szCs w:val="18"/>
    </w:rPr>
  </w:style>
  <w:style w:type="character" w:styleId="748" w:customStyle="1">
    <w:name w:val="Текст сноски Знак"/>
    <w:uiPriority w:val="99"/>
    <w:qFormat/>
    <w:rPr>
      <w:sz w:val="18"/>
    </w:rPr>
  </w:style>
  <w:style w:type="character" w:styleId="749">
    <w:name w:val="Символ сноски"/>
    <w:uiPriority w:val="99"/>
    <w:unhideWhenUsed/>
    <w:qFormat/>
    <w:rPr>
      <w:vertAlign w:val="superscript"/>
    </w:rPr>
  </w:style>
  <w:style w:type="character" w:styleId="750">
    <w:name w:val="footnote reference"/>
    <w:rPr>
      <w:vertAlign w:val="superscript"/>
    </w:rPr>
  </w:style>
  <w:style w:type="character" w:styleId="751" w:customStyle="1">
    <w:name w:val="Текст концевой сноски Знак"/>
    <w:uiPriority w:val="99"/>
    <w:qFormat/>
    <w:rPr>
      <w:sz w:val="20"/>
    </w:rPr>
  </w:style>
  <w:style w:type="character" w:styleId="75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53">
    <w:name w:val="endnote reference"/>
    <w:rPr>
      <w:vertAlign w:val="superscript"/>
    </w:rPr>
  </w:style>
  <w:style w:type="character" w:styleId="754" w:customStyle="1">
    <w:name w:val="Верхний колонтитул Знак"/>
    <w:basedOn w:val="731"/>
    <w:uiPriority w:val="99"/>
    <w:qFormat/>
  </w:style>
  <w:style w:type="character" w:styleId="755" w:customStyle="1">
    <w:name w:val="Нижний колонтитул Знак"/>
    <w:basedOn w:val="731"/>
    <w:uiPriority w:val="99"/>
    <w:qFormat/>
  </w:style>
  <w:style w:type="character" w:styleId="756" w:customStyle="1">
    <w:name w:val="Текст выноски Знак"/>
    <w:basedOn w:val="731"/>
    <w:link w:val="802"/>
    <w:uiPriority w:val="99"/>
    <w:semiHidden/>
    <w:qFormat/>
    <w:rPr>
      <w:rFonts w:ascii="Segoe UI" w:hAnsi="Segoe UI" w:cs="Segoe UI"/>
      <w:sz w:val="18"/>
      <w:szCs w:val="18"/>
    </w:rPr>
  </w:style>
  <w:style w:type="character" w:styleId="757" w:customStyle="1">
    <w:name w:val="doccaption"/>
    <w:basedOn w:val="731"/>
    <w:qFormat/>
  </w:style>
  <w:style w:type="character" w:styleId="758">
    <w:name w:val="Hyperlink"/>
    <w:basedOn w:val="731"/>
    <w:uiPriority w:val="99"/>
    <w:unhideWhenUsed/>
    <w:rPr>
      <w:color w:val="0000ff"/>
      <w:u w:val="single"/>
    </w:rPr>
  </w:style>
  <w:style w:type="character" w:styleId="759" w:customStyle="1">
    <w:name w:val="Стандартный HTML Знак"/>
    <w:basedOn w:val="731"/>
    <w:link w:val="804"/>
    <w:uiPriority w:val="99"/>
    <w:qFormat/>
    <w:rPr>
      <w:rFonts w:ascii="Courier New" w:hAnsi="Courier New" w:eastAsia="Times New Roman" w:cs="Courier New"/>
      <w:sz w:val="20"/>
      <w:szCs w:val="20"/>
      <w:lang w:eastAsia="ru-RU"/>
    </w:rPr>
  </w:style>
  <w:style w:type="character" w:styleId="760" w:customStyle="1">
    <w:name w:val="blk"/>
    <w:basedOn w:val="731"/>
    <w:qFormat/>
    <w:rPr>
      <w:vanish w:val="0"/>
    </w:rPr>
  </w:style>
  <w:style w:type="character" w:styleId="761" w:customStyle="1">
    <w:name w:val="nobr"/>
    <w:basedOn w:val="731"/>
    <w:qFormat/>
  </w:style>
  <w:style w:type="character" w:styleId="762" w:customStyle="1">
    <w:name w:val="Заголовок 1 Знак"/>
    <w:basedOn w:val="731"/>
    <w:uiPriority w:val="9"/>
    <w:qFormat/>
    <w:rPr>
      <w:rFonts w:ascii="Calibri Light" w:hAnsi="Calibri Light" w:eastAsia="Arial" w:cs="Arial"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3" w:customStyle="1">
    <w:name w:val="Основной текст_"/>
    <w:basedOn w:val="731"/>
    <w:qFormat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764" w:customStyle="1">
    <w:name w:val="oz_naimen"/>
    <w:basedOn w:val="731"/>
    <w:qFormat/>
  </w:style>
  <w:style w:type="character" w:styleId="765" w:customStyle="1">
    <w:name w:val="pt-a0"/>
    <w:basedOn w:val="731"/>
    <w:qFormat/>
  </w:style>
  <w:style w:type="character" w:styleId="766" w:customStyle="1">
    <w:name w:val="pt-a0-000004"/>
    <w:basedOn w:val="731"/>
    <w:qFormat/>
  </w:style>
  <w:style w:type="character" w:styleId="767" w:customStyle="1">
    <w:name w:val="doc__title_important1"/>
    <w:basedOn w:val="731"/>
    <w:qFormat/>
    <w:rPr>
      <w:vanish w:val="0"/>
      <w:color w:val="000000"/>
    </w:rPr>
  </w:style>
  <w:style w:type="character" w:styleId="768">
    <w:name w:val="annotation reference"/>
    <w:basedOn w:val="731"/>
    <w:uiPriority w:val="99"/>
    <w:semiHidden/>
    <w:unhideWhenUsed/>
    <w:qFormat/>
    <w:rPr>
      <w:sz w:val="16"/>
      <w:szCs w:val="16"/>
    </w:rPr>
  </w:style>
  <w:style w:type="character" w:styleId="769" w:customStyle="1">
    <w:name w:val="Текст примечания Знак"/>
    <w:basedOn w:val="731"/>
    <w:uiPriority w:val="99"/>
    <w:semiHidden/>
    <w:qFormat/>
    <w:rPr>
      <w:sz w:val="20"/>
      <w:szCs w:val="20"/>
    </w:rPr>
  </w:style>
  <w:style w:type="character" w:styleId="770" w:customStyle="1">
    <w:name w:val="Тема примечания Знак"/>
    <w:basedOn w:val="769"/>
    <w:link w:val="809"/>
    <w:uiPriority w:val="99"/>
    <w:semiHidden/>
    <w:qFormat/>
    <w:rPr>
      <w:b/>
      <w:bCs/>
      <w:sz w:val="20"/>
      <w:szCs w:val="20"/>
    </w:rPr>
  </w:style>
  <w:style w:type="character" w:styleId="771" w:customStyle="1">
    <w:name w:val="pt-a0-000002"/>
    <w:basedOn w:val="731"/>
    <w:qFormat/>
  </w:style>
  <w:style w:type="character" w:styleId="772" w:customStyle="1">
    <w:name w:val="pt-a0-000003"/>
    <w:basedOn w:val="731"/>
    <w:qFormat/>
  </w:style>
  <w:style w:type="character" w:styleId="773">
    <w:name w:val="Символ нумерации"/>
    <w:qFormat/>
  </w:style>
  <w:style w:type="paragraph" w:styleId="774">
    <w:name w:val="Заголовок"/>
    <w:basedOn w:val="706"/>
    <w:next w:val="77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75">
    <w:name w:val="Body Text"/>
    <w:basedOn w:val="706"/>
    <w:pPr>
      <w:spacing w:before="0" w:after="140" w:line="276" w:lineRule="auto"/>
    </w:pPr>
  </w:style>
  <w:style w:type="paragraph" w:styleId="776">
    <w:name w:val="List"/>
    <w:basedOn w:val="775"/>
    <w:rPr>
      <w:rFonts w:ascii="PT Astra Serif" w:hAnsi="PT Astra Serif" w:cs="Noto Sans Devanagari"/>
    </w:rPr>
  </w:style>
  <w:style w:type="paragraph" w:styleId="777">
    <w:name w:val="Caption"/>
    <w:basedOn w:val="706"/>
    <w:next w:val="706"/>
    <w:link w:val="74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78">
    <w:name w:val="Указатель"/>
    <w:basedOn w:val="706"/>
    <w:qFormat/>
    <w:pPr>
      <w:suppressLineNumbers/>
    </w:pPr>
    <w:rPr>
      <w:rFonts w:ascii="PT Astra Serif" w:hAnsi="PT Astra Serif" w:cs="Noto Sans Devanagari"/>
    </w:rPr>
  </w:style>
  <w:style w:type="paragraph" w:styleId="779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80">
    <w:name w:val="Title"/>
    <w:basedOn w:val="706"/>
    <w:next w:val="706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1">
    <w:name w:val="Subtitle"/>
    <w:basedOn w:val="706"/>
    <w:next w:val="706"/>
    <w:link w:val="742"/>
    <w:uiPriority w:val="11"/>
    <w:qFormat/>
    <w:pPr>
      <w:spacing w:before="200" w:after="200"/>
    </w:pPr>
  </w:style>
  <w:style w:type="paragraph" w:styleId="782">
    <w:name w:val="Quote"/>
    <w:basedOn w:val="706"/>
    <w:next w:val="706"/>
    <w:link w:val="743"/>
    <w:uiPriority w:val="29"/>
    <w:qFormat/>
    <w:pPr>
      <w:ind w:left="720" w:right="720"/>
    </w:pPr>
    <w:rPr>
      <w:i/>
    </w:rPr>
  </w:style>
  <w:style w:type="paragraph" w:styleId="783">
    <w:name w:val="Intense Quote"/>
    <w:basedOn w:val="706"/>
    <w:next w:val="706"/>
    <w:link w:val="7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4">
    <w:name w:val="footnote text"/>
    <w:basedOn w:val="706"/>
    <w:link w:val="748"/>
    <w:uiPriority w:val="99"/>
    <w:semiHidden/>
    <w:unhideWhenUsed/>
    <w:pPr>
      <w:spacing w:before="0" w:after="40"/>
    </w:pPr>
    <w:rPr>
      <w:sz w:val="18"/>
    </w:rPr>
  </w:style>
  <w:style w:type="paragraph" w:styleId="785">
    <w:name w:val="endnote text"/>
    <w:basedOn w:val="706"/>
    <w:link w:val="751"/>
    <w:uiPriority w:val="99"/>
    <w:semiHidden/>
    <w:unhideWhenUsed/>
    <w:rPr>
      <w:sz w:val="20"/>
    </w:rPr>
  </w:style>
  <w:style w:type="paragraph" w:styleId="786">
    <w:name w:val="toc 1"/>
    <w:basedOn w:val="706"/>
    <w:next w:val="706"/>
    <w:uiPriority w:val="39"/>
    <w:unhideWhenUsed/>
    <w:pPr>
      <w:spacing w:before="0" w:after="57"/>
    </w:pPr>
  </w:style>
  <w:style w:type="paragraph" w:styleId="787">
    <w:name w:val="toc 2"/>
    <w:basedOn w:val="706"/>
    <w:next w:val="706"/>
    <w:uiPriority w:val="39"/>
    <w:unhideWhenUsed/>
    <w:pPr>
      <w:ind w:left="283"/>
      <w:spacing w:before="0" w:after="57"/>
    </w:pPr>
  </w:style>
  <w:style w:type="paragraph" w:styleId="788">
    <w:name w:val="toc 3"/>
    <w:basedOn w:val="706"/>
    <w:next w:val="706"/>
    <w:uiPriority w:val="39"/>
    <w:unhideWhenUsed/>
    <w:pPr>
      <w:ind w:left="567"/>
      <w:spacing w:before="0" w:after="57"/>
    </w:pPr>
  </w:style>
  <w:style w:type="paragraph" w:styleId="789">
    <w:name w:val="toc 4"/>
    <w:basedOn w:val="706"/>
    <w:next w:val="706"/>
    <w:uiPriority w:val="39"/>
    <w:unhideWhenUsed/>
    <w:pPr>
      <w:ind w:left="850"/>
      <w:spacing w:before="0" w:after="57"/>
    </w:pPr>
  </w:style>
  <w:style w:type="paragraph" w:styleId="790">
    <w:name w:val="toc 5"/>
    <w:basedOn w:val="706"/>
    <w:next w:val="706"/>
    <w:uiPriority w:val="39"/>
    <w:unhideWhenUsed/>
    <w:pPr>
      <w:ind w:left="1134"/>
      <w:spacing w:before="0" w:after="57"/>
    </w:pPr>
  </w:style>
  <w:style w:type="paragraph" w:styleId="791">
    <w:name w:val="toc 6"/>
    <w:basedOn w:val="706"/>
    <w:next w:val="706"/>
    <w:uiPriority w:val="39"/>
    <w:unhideWhenUsed/>
    <w:pPr>
      <w:ind w:left="1417"/>
      <w:spacing w:before="0" w:after="57"/>
    </w:pPr>
  </w:style>
  <w:style w:type="paragraph" w:styleId="792">
    <w:name w:val="toc 7"/>
    <w:basedOn w:val="706"/>
    <w:next w:val="706"/>
    <w:uiPriority w:val="39"/>
    <w:unhideWhenUsed/>
    <w:pPr>
      <w:ind w:left="1701"/>
      <w:spacing w:before="0" w:after="57"/>
    </w:pPr>
  </w:style>
  <w:style w:type="paragraph" w:styleId="793">
    <w:name w:val="toc 8"/>
    <w:basedOn w:val="706"/>
    <w:next w:val="706"/>
    <w:uiPriority w:val="39"/>
    <w:unhideWhenUsed/>
    <w:pPr>
      <w:ind w:left="1984"/>
      <w:spacing w:before="0" w:after="57"/>
    </w:pPr>
  </w:style>
  <w:style w:type="paragraph" w:styleId="794">
    <w:name w:val="toc 9"/>
    <w:basedOn w:val="706"/>
    <w:next w:val="706"/>
    <w:uiPriority w:val="39"/>
    <w:unhideWhenUsed/>
    <w:pPr>
      <w:ind w:left="2268"/>
      <w:spacing w:before="0" w:after="57"/>
    </w:pPr>
  </w:style>
  <w:style w:type="paragraph" w:styleId="795">
    <w:name w:val="index heading"/>
    <w:basedOn w:val="774"/>
  </w:style>
  <w:style w:type="paragraph" w:styleId="796">
    <w:name w:val="TOC Heading"/>
    <w:uiPriority w:val="39"/>
    <w:unhideWhenUsed/>
    <w:qFormat/>
    <w:pPr>
      <w:jc w:val="left"/>
      <w:spacing w:before="0" w:after="16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97">
    <w:name w:val="table of figures"/>
    <w:basedOn w:val="706"/>
    <w:next w:val="706"/>
    <w:uiPriority w:val="99"/>
    <w:unhideWhenUsed/>
  </w:style>
  <w:style w:type="paragraph" w:styleId="798">
    <w:name w:val="Normal (Web)"/>
    <w:basedOn w:val="706"/>
    <w:uiPriority w:val="99"/>
    <w:unhideWhenUsed/>
    <w:qFormat/>
    <w:pPr>
      <w:spacing w:beforeAutospacing="1" w:afterAutospacing="1"/>
    </w:pPr>
  </w:style>
  <w:style w:type="paragraph" w:styleId="799">
    <w:name w:val="Header and Footer"/>
    <w:basedOn w:val="706"/>
    <w:qFormat/>
  </w:style>
  <w:style w:type="paragraph" w:styleId="800">
    <w:name w:val="Header"/>
    <w:basedOn w:val="706"/>
    <w:link w:val="754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801">
    <w:name w:val="Footer"/>
    <w:basedOn w:val="706"/>
    <w:link w:val="755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802">
    <w:name w:val="Balloon Text"/>
    <w:basedOn w:val="706"/>
    <w:link w:val="75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03">
    <w:name w:val="List Paragraph"/>
    <w:basedOn w:val="706"/>
    <w:uiPriority w:val="34"/>
    <w:qFormat/>
    <w:pPr>
      <w:contextualSpacing/>
      <w:ind w:left="720"/>
      <w:spacing w:before="0" w:after="160" w:line="259" w:lineRule="auto"/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804">
    <w:name w:val="HTML Preformatted"/>
    <w:basedOn w:val="706"/>
    <w:link w:val="759"/>
    <w:uiPriority w:val="99"/>
    <w:unhideWhenUsed/>
    <w:qFormat/>
    <w:pPr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805" w:customStyle="1">
    <w:name w:val="text-justif"/>
    <w:basedOn w:val="706"/>
    <w:qFormat/>
    <w:pPr>
      <w:spacing w:beforeAutospacing="1" w:afterAutospacing="1"/>
    </w:pPr>
  </w:style>
  <w:style w:type="paragraph" w:styleId="806" w:customStyle="1">
    <w:name w:val="p_namecomment"/>
    <w:basedOn w:val="706"/>
    <w:qFormat/>
    <w:pPr>
      <w:spacing w:beforeAutospacing="1" w:afterAutospacing="1"/>
    </w:pPr>
  </w:style>
  <w:style w:type="paragraph" w:styleId="807" w:customStyle="1">
    <w:name w:val="s_3"/>
    <w:basedOn w:val="706"/>
    <w:qFormat/>
    <w:pPr>
      <w:spacing w:beforeAutospacing="1" w:afterAutospacing="1"/>
    </w:pPr>
  </w:style>
  <w:style w:type="paragraph" w:styleId="808">
    <w:name w:val="annotation text"/>
    <w:basedOn w:val="706"/>
    <w:link w:val="769"/>
    <w:uiPriority w:val="99"/>
    <w:semiHidden/>
    <w:unhideWhenUsed/>
    <w:pPr>
      <w:spacing w:before="0" w:after="160"/>
    </w:pPr>
    <w:rPr>
      <w:rFonts w:ascii="Calibri" w:hAnsi="Calibri" w:eastAsia="Calibri" w:cs="Arial" w:asciiTheme="minorHAnsi" w:hAnsiTheme="minorHAnsi" w:eastAsiaTheme="minorHAnsi" w:cstheme="minorBidi"/>
      <w:sz w:val="20"/>
      <w:szCs w:val="20"/>
      <w:lang w:eastAsia="en-US"/>
    </w:rPr>
  </w:style>
  <w:style w:type="paragraph" w:styleId="809">
    <w:name w:val="annotation subject"/>
    <w:basedOn w:val="808"/>
    <w:next w:val="808"/>
    <w:link w:val="770"/>
    <w:uiPriority w:val="99"/>
    <w:semiHidden/>
    <w:unhideWhenUsed/>
    <w:qFormat/>
    <w:rPr>
      <w:b/>
      <w:bCs/>
    </w:rPr>
  </w:style>
  <w:style w:type="paragraph" w:styleId="810" w:customStyle="1">
    <w:name w:val="Default"/>
    <w:qFormat/>
    <w:pPr>
      <w:jc w:val="left"/>
      <w:spacing w:before="0" w:after="0" w:line="240" w:lineRule="auto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811" w:customStyle="1">
    <w:name w:val="pt-a-000001"/>
    <w:basedOn w:val="706"/>
    <w:qFormat/>
    <w:pPr>
      <w:spacing w:beforeAutospacing="1" w:afterAutospacing="1"/>
    </w:pPr>
  </w:style>
  <w:style w:type="numbering" w:styleId="812" w:default="1">
    <w:name w:val="Без списка"/>
    <w:uiPriority w:val="99"/>
    <w:semiHidden/>
    <w:unhideWhenUsed/>
    <w:qFormat/>
  </w:style>
  <w:style w:type="table" w:styleId="81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Table Grid Light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5">
    <w:name w:val="Plain Table 1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6">
    <w:name w:val="Plain Table 2"/>
    <w:basedOn w:val="81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7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18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19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0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 w:customStyle="1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EC4E6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4B28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 w:customStyle="1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4" w:customStyle="1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DA6A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 w:customStyle="1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 w:customStyle="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7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2" w:customStyle="1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eebf6" w:fill="deebf6" w:themeFill="accent1" w:themeFillTint="32"/>
      </w:tcPr>
    </w:tblStylePr>
    <w:tblStylePr w:type="band1Vert">
      <w:rPr>
        <w:sz w:val="22"/>
      </w:rPr>
      <w:tcPr>
        <w:shd w:val="clear" w:color="deebf6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68a2d8" w:fill="68a2d8" w:themeFill="accent1" w:themeFillTint="EA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68A2D8" w:themeColor="accent1" w:sz="4" w:space="0"/>
        </w:tcBorders>
      </w:tcPr>
    </w:tblStylePr>
  </w:style>
  <w:style w:type="table" w:styleId="843" w:customStyle="1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4B184" w:themeColor="accent2" w:sz="4" w:space="0"/>
        </w:tcBorders>
      </w:tcPr>
    </w:tblStylePr>
  </w:style>
  <w:style w:type="table" w:styleId="844" w:customStyle="1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45" w:customStyle="1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D865" w:themeColor="accent4" w:sz="4" w:space="0"/>
        </w:tcBorders>
      </w:tcPr>
    </w:tblStylePr>
  </w:style>
  <w:style w:type="table" w:styleId="846" w:customStyle="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47" w:customStyle="1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48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sz w:val="22"/>
      </w:rPr>
      <w:tcPr>
        <w:shd w:val="clear" w:color="5b9bd5" w:fill="5b9bd5" w:themeFill="accent1"/>
      </w:tc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  <w:sz w:val="22"/>
      </w:rPr>
      <w:tcPr>
        <w:shd w:val="clear" w:color="5b9bd5" w:fill="5b9bd5" w:themeFill="accent1"/>
      </w:tcPr>
    </w:tblStylePr>
    <w:tblStylePr w:type="lastRow">
      <w:rPr>
        <w:b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sz w:val="22"/>
      </w:rPr>
      <w:tcPr>
        <w:shd w:val="clear" w:color="4472c4" w:fill="4472c4" w:themeFill="accent5"/>
      </w:tc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  <w:sz w:val="22"/>
      </w:rPr>
      <w:tcPr>
        <w:shd w:val="clear" w:color="4472c4" w:fill="4472c4" w:themeFill="accent5"/>
      </w:tcPr>
    </w:tblStylePr>
    <w:tblStylePr w:type="lastRow">
      <w:rPr>
        <w:b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855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856" w:customStyle="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</w:style>
  <w:style w:type="table" w:styleId="857" w:customStyle="1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</w:style>
  <w:style w:type="table" w:styleId="858" w:customStyle="1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</w:style>
  <w:style w:type="table" w:styleId="859" w:customStyle="1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</w:style>
  <w:style w:type="table" w:styleId="860" w:customStyle="1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861" w:customStyle="1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862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77" w:customStyle="1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878" w:customStyle="1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879" w:customStyle="1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880" w:customStyle="1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styleId="881" w:customStyle="1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882" w:customStyle="1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83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4" w:customStyle="1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5" w:customStyle="1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6" w:customStyle="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7" w:customStyle="1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 w:customStyle="1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da9db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 w:customStyle="1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 w:customStyle="1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 w:customStyle="1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 w:customStyle="1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 w:customStyle="1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 w:customStyle="1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 w:customStyle="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7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8" w:customStyle="1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 w:customStyle="1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2" w:customStyle="1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3" w:customStyle="1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4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05" w:customStyle="1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06" w:customStyle="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F4B184" w:themeColor="accent2" w:sz="4" w:space="0"/>
        </w:tcBorders>
      </w:tcPr>
    </w:tblStylePr>
  </w:style>
  <w:style w:type="table" w:styleId="907" w:customStyle="1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C9C9C9" w:themeColor="accent3" w:sz="4" w:space="0"/>
        </w:tcBorders>
      </w:tcPr>
    </w:tblStylePr>
  </w:style>
  <w:style w:type="table" w:styleId="908" w:customStyle="1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FFD865" w:themeColor="accent4" w:sz="4" w:space="0"/>
        </w:tcBorders>
      </w:tcPr>
    </w:tblStylePr>
  </w:style>
  <w:style w:type="table" w:styleId="909" w:customStyle="1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8DA9DB" w:themeColor="accent5" w:sz="4" w:space="0"/>
        </w:tcBorders>
      </w:tcPr>
    </w:tblStylePr>
  </w:style>
  <w:style w:type="table" w:styleId="910" w:customStyle="1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A9D08E" w:themeColor="accent6" w:sz="4" w:space="0"/>
        </w:tcBorders>
      </w:tcPr>
    </w:tblStylePr>
  </w:style>
  <w:style w:type="table" w:styleId="911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ned - Accent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19" w:customStyle="1">
    <w:name w:val="Lined - Accent 1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920" w:customStyle="1">
    <w:name w:val="Lined - Accent 2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921" w:customStyle="1">
    <w:name w:val="Lined - Accent 3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22" w:customStyle="1">
    <w:name w:val="Lined - Accent 4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923" w:customStyle="1">
    <w:name w:val="Lined - Accent 5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24" w:customStyle="1">
    <w:name w:val="Lined - Accent 6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25" w:customStyle="1">
    <w:name w:val="Bordered &amp; Lined - Accent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26" w:customStyle="1">
    <w:name w:val="Bordered &amp; Lined - Accent 1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927" w:customStyle="1">
    <w:name w:val="Bordered &amp; Lined - Accent 2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928" w:customStyle="1">
    <w:name w:val="Bordered &amp; Lined - Accent 3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29" w:customStyle="1">
    <w:name w:val="Bordered &amp; Lined - Accent 4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930" w:customStyle="1">
    <w:name w:val="Bordered &amp; Lined - Accent 5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31" w:customStyle="1">
    <w:name w:val="Bordered &amp; Lined - Accent 6"/>
    <w:basedOn w:val="81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32" w:customStyle="1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33" w:customStyle="1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34" w:customStyle="1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4B184" w:themeColor="accent2" w:sz="12" w:space="0"/>
        </w:tcBorders>
      </w:tcPr>
    </w:tblStylePr>
    <w:tblStylePr w:type="lastCol">
      <w:rPr>
        <w:sz w:val="22"/>
      </w:rPr>
      <w:tcPr>
        <w:tcBorders>
          <w:left w:val="single" w:color="F4B184" w:themeColor="accent2" w:sz="12" w:space="0"/>
        </w:tcBorders>
      </w:tcPr>
    </w:tblStylePr>
    <w:tblStylePr w:type="lastRow">
      <w:rPr>
        <w:sz w:val="22"/>
      </w:rPr>
      <w:tcPr>
        <w:tcBorders>
          <w:top w:val="single" w:color="F4B184" w:themeColor="accent2" w:sz="12" w:space="0"/>
        </w:tcBorders>
      </w:tcPr>
    </w:tblStylePr>
  </w:style>
  <w:style w:type="table" w:styleId="935" w:customStyle="1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936" w:customStyle="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D865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D865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D865" w:themeColor="accent4" w:sz="12" w:space="0"/>
        </w:tcBorders>
      </w:tcPr>
    </w:tblStylePr>
  </w:style>
  <w:style w:type="table" w:styleId="937" w:customStyle="1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DA9DB" w:themeColor="accent5" w:sz="12" w:space="0"/>
        </w:tcBorders>
      </w:tcPr>
    </w:tblStylePr>
    <w:tblStylePr w:type="lastCol">
      <w:rPr>
        <w:sz w:val="22"/>
      </w:rPr>
      <w:tcPr>
        <w:tcBorders>
          <w:left w:val="single" w:color="8DA9DB" w:themeColor="accent5" w:sz="12" w:space="0"/>
        </w:tcBorders>
      </w:tcPr>
    </w:tblStylePr>
    <w:tblStylePr w:type="lastRow">
      <w:rPr>
        <w:sz w:val="22"/>
      </w:rPr>
      <w:tcPr>
        <w:tcBorders>
          <w:top w:val="single" w:color="8DA9DB" w:themeColor="accent5" w:sz="12" w:space="0"/>
        </w:tcBorders>
      </w:tcPr>
    </w:tblStylePr>
  </w:style>
  <w:style w:type="table" w:styleId="938" w:customStyle="1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cPr>
        <w:tcBorders>
          <w:top w:val="single" w:color="A9D08E" w:themeColor="accent6" w:sz="12" w:space="0"/>
        </w:tcBorders>
      </w:tcPr>
    </w:tblStylePr>
  </w:style>
  <w:style w:type="table" w:styleId="939">
    <w:name w:val="Table Grid"/>
    <w:basedOn w:val="81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F20E2-AD75-4780-A071-F086AAA75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Екатерина Сергеевна</dc:creator>
  <dc:description/>
  <dc:language>ru-RU</dc:language>
  <cp:lastModifiedBy>obizhaevaoa</cp:lastModifiedBy>
  <cp:revision>28</cp:revision>
  <dcterms:created xsi:type="dcterms:W3CDTF">2025-11-01T09:47:00Z</dcterms:created>
  <dcterms:modified xsi:type="dcterms:W3CDTF">2026-10-02T11:04:24Z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