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right"/>
        <w:spacing w:after="0" w:afterAutospacing="0" w:line="57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Доклад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right"/>
        <w:spacing w:after="0" w:afterAutospacing="0" w:line="57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государственного регистратора прав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right"/>
        <w:spacing w:after="0" w:afterAutospacing="0" w:line="57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Межмуниципального Бийского отдела </w:t>
        <w:br/>
        <w:t xml:space="preserve"> Управления Росреестра </w:t>
        <w:br/>
        <w:t xml:space="preserve"> по Алтайскому краю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right"/>
        <w:spacing w:after="0" w:afterAutospacing="0" w:line="57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Кощеевой Е.А.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right"/>
        <w:spacing w:line="57" w:lineRule="atLeast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709"/>
        <w:jc w:val="center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Ошибки кадастровых инженеров, допускаемые при подготовке межевых и технических планов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Добрый день, уважаемые коллеги!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line="240" w:lineRule="atLeast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годня, хотелось бы начать свой доклад с напоминания, </w:t>
        <w:br/>
        <w:t xml:space="preserve">о необходимости соблюдения требований Приказа № П/0082 от 15.03.2022 г. (с изм.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от 01.02.2026 г.) "Об установлении формы технического плана, требований к его подготовке и состава содержащихся в нем свед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ений".</w:t>
      </w:r>
      <w:hyperlink r:id="rId11" w:tooltip="https://base.garant.ru/403820102/53f89421bbdaf741eb2d1ecc4ddb4c33/#block_1000" w:history="1">
        <w:r>
          <w:rPr>
            <w:rStyle w:val="849"/>
            <w:rFonts w:ascii="Times New Roman" w:hAnsi="Times New Roman" w:eastAsia="Times New Roman" w:cs="Times New Roman"/>
            <w:color w:val="000000" w:themeColor="text1"/>
            <w:sz w:val="28"/>
            <w:highlight w:val="white"/>
            <w:u w:val="none"/>
          </w:rPr>
          <w:t xml:space="preserve">Технический план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 состоит из текстовой и графической частей,хотелось бы подчеркнуть, что именно в графической части содержится информация о </w:t>
      </w:r>
      <w:hyperlink r:id="rId12" w:tooltip="https://base.garant.ru/403820102/#block_1800" w:history="1">
        <w:r>
          <w:rPr>
            <w:rStyle w:val="849"/>
            <w:rFonts w:ascii="Times New Roman" w:hAnsi="Times New Roman" w:eastAsia="Times New Roman" w:cs="Times New Roman"/>
            <w:color w:val="000000" w:themeColor="text1"/>
            <w:sz w:val="28"/>
            <w:highlight w:val="white"/>
            <w:u w:val="none"/>
          </w:rPr>
          <w:t xml:space="preserve">схеме расположения здания, сооружения (части объекта недвижимости), объекта незавершенного строительства в границах земельного участка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,  </w:t>
      </w:r>
      <w:hyperlink r:id="rId13" w:tooltip="https://base.garant.ru/403820102/#block_11000" w:history="1">
        <w:r>
          <w:rPr>
            <w:rStyle w:val="849"/>
            <w:rFonts w:ascii="Times New Roman" w:hAnsi="Times New Roman" w:eastAsia="Times New Roman" w:cs="Times New Roman"/>
            <w:color w:val="000000" w:themeColor="text1"/>
            <w:sz w:val="28"/>
            <w:highlight w:val="white"/>
            <w:u w:val="none"/>
          </w:rPr>
          <w:t xml:space="preserve">план здания, сооружения, план этажа, фрагмент плана здания, сооружения, этажа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. Поэтому подготовка технического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план без графической части невозможна, а тем более подача такого технического плана в Росреестр для учета изменений объекта недвижимого имущества, к сожалению такие случаи встречаются, мотивировка, что ничего не изменяется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, объект просто координируется на земельном участ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ке.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709"/>
        <w:jc w:val="both"/>
        <w:spacing w:line="240" w:lineRule="atLeast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 результатам анализа можно обозначить несколько типовых ошибок, которые допускают кадастровые инженеры при подготовке межевых и технических планов: 1. Размер и площадь образуемого земельного участка не соответствует требованиям к предельным (минимальным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 максимальным) размерам земельных участков; Межевой план не содержит предельных минимальных и максимальных размеров, соответствующих виду разрешенного использования земельного участка и сведений о документах, устанавливающих такие размеры; 2. Нарушен пор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ядок согласования местоположения границ земельного участка, акт согласования подписан не всеми собственниками смежных земельных участков, в состав межевого плана включен акт согласования вообще без единой подписи или акта нет как такого документа совсем.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3. Не обеспечен доступ к земельным участкам;</w:t>
        <w:br/>
        <w:t xml:space="preserve"> 4. Границы земельного участка, о государственном кадастровом учете которого представлено заявление, пересекают границы другого земельного участка, сведения о котором содержатся в ЕГРН;</w:t>
        <w:br/>
        <w:t xml:space="preserve"> 5. В межевом плане отсут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ствуют сведения о кадастровых номерах (ранее присвоенных государственных учетных номерах (инвентарных) расположенных на земельном участке объектов капитального строительства;</w:t>
        <w:br/>
        <w:t xml:space="preserve"> 6. В техническом плане указаны не все земельные участки и/или кадастровые кварта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лы на (-под, -над) которыми расположен объект капитального строительства.</w:t>
        <w:br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567"/>
        <w:jc w:val="both"/>
        <w:spacing w:line="57" w:lineRule="atLeast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Еще раз, настоятельно прошу обратить внимание на правильность заполнения XML-схем в Межевых планах. Единичные кадастровые инженеры заполняютграфы «Документ, подтверждающий категорию» и «Документ, подтверждающий вид разрешенного использования».Основная масс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а эти графы игнорирует. Убедительная просьба, учитывать данную информацию при подготовке Межевых планов!!!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709"/>
        <w:jc w:val="both"/>
        <w:spacing w:line="56" w:lineRule="atLeast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Так же хотелось бы обратиться с просьбой, так как мы с вами делаем общее дело и наша работа направлена на достижение цели нашего заявителя и вашего заказчика, то нужно, чтоб эта цель была максимально комфортно для всех достигнута. Так при подготовке технич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еского или межевого плана в связи с изменением основных характеристик объекта информируйте, пожалуйста правообладателей о необходимости получения согласия залогодержателя на такие изменения, если объект находится в ипотеке (данную информацию можно увидеть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 выписке из ЕГРН, которую Вы обязательно запрашиваете перед проведением работ). Заявители зачастую не знают о такой необходимости.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709"/>
        <w:jc w:val="both"/>
        <w:spacing w:line="56" w:lineRule="atLeast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так же хотелось бы, чтобы заявители были информированы </w:t>
        <w:br/>
        <w:t xml:space="preserve">о последовательности действий при выполнении перепланировки и переустройстве в том случае, когда на это требуется разрешение уполномоченного органа. После выполненных работ по перепланировке </w:t>
        <w:br/>
        <w:t xml:space="preserve">и переус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тройству изготавливается технический план, потом выдается акт приемочной комиссии, а только после этого документы подаются для проведения учетно-регистрационных действий. Часто правообладатели эту стадию упускают.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709"/>
        <w:jc w:val="both"/>
        <w:spacing w:line="56" w:lineRule="atLeast"/>
        <w:rPr>
          <w:rFonts w:ascii="Times New Roman" w:hAnsi="Times New Roman" w:cs="Times New Roman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Еще хотелось бы напомнить, ч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то </w:t>
      </w:r>
      <w:hyperlink r:id="rId14" w:tooltip="https://www.consultant.ru/document/cons_doc_LAW_540441/f10dc2166d2e834a0086658226e2f96fb5f1cb5f/#dst100387" w:history="1">
        <w:r>
          <w:rPr>
            <w:rStyle w:val="849"/>
            <w:rFonts w:ascii="Times New Roman" w:hAnsi="Times New Roman" w:eastAsia="Times New Roman" w:cs="Times New Roman"/>
            <w:color w:val="000000"/>
            <w:sz w:val="30"/>
            <w:u w:val="none"/>
          </w:rPr>
          <w:t xml:space="preserve">Пунктом 7 части 1 статьи 26</w:t>
        </w:r>
      </w:hyperlink>
      <w:r>
        <w:rPr>
          <w:rFonts w:ascii="Times New Roman" w:hAnsi="Times New Roman" w:eastAsia="Times New Roman" w:cs="Times New Roman"/>
          <w:color w:val="000000"/>
          <w:sz w:val="30"/>
          <w:u w:val="none"/>
        </w:rPr>
        <w:t xml:space="preserve"> Федерального закона от 13.07.2015 N 218-ФЗ "О государственной регистрации недвижимости" (далее - Закон N 218-ФЗ) установлено, что осуществление государственного кадастрового учета и (или) государственной регистрации прав приостанавливается по решению госу</w:t>
      </w:r>
      <w:r>
        <w:rPr>
          <w:rFonts w:ascii="Times New Roman" w:hAnsi="Times New Roman" w:eastAsia="Times New Roman" w:cs="Times New Roman"/>
          <w:color w:val="000000"/>
          <w:sz w:val="30"/>
          <w:u w:val="none"/>
        </w:rPr>
        <w:t xml:space="preserve">дарственного регистратора прав в случае, если форма и (или) содержание документа, представленного для осуществления государственного кадастрового учета и (или) государственной регистрации прав, не соответствуют требованиям законодательства Российской Федер</w:t>
      </w:r>
      <w:r>
        <w:rPr>
          <w:rFonts w:ascii="Times New Roman" w:hAnsi="Times New Roman" w:eastAsia="Times New Roman" w:cs="Times New Roman"/>
          <w:color w:val="000000"/>
          <w:sz w:val="30"/>
          <w:u w:val="none"/>
        </w:rPr>
        <w:t xml:space="preserve">ации.</w:t>
      </w:r>
      <w:r>
        <w:rPr>
          <w:rFonts w:ascii="Times New Roman" w:hAnsi="Times New Roman" w:cs="Times New Roman"/>
          <w:u w:val="none"/>
        </w:rPr>
      </w:r>
      <w:r>
        <w:rPr>
          <w:rFonts w:ascii="Times New Roman" w:hAnsi="Times New Roman" w:cs="Times New Roman"/>
          <w:u w:val="none"/>
        </w:rPr>
      </w:r>
    </w:p>
    <w:p>
      <w:pPr>
        <w:ind w:left="0" w:right="0" w:firstLine="539"/>
        <w:jc w:val="both"/>
        <w:spacing w:line="280" w:lineRule="atLeast"/>
        <w:rPr>
          <w:rFonts w:ascii="Times New Roman" w:hAnsi="Times New Roman" w:cs="Times New Roman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30"/>
          <w:u w:val="none"/>
        </w:rPr>
        <w:t xml:space="preserve">Согласно положениям </w:t>
      </w:r>
      <w:hyperlink r:id="rId15" w:tooltip="https://www.consultant.ru/document/cons_doc_LAW_514712/89e69a310e72a15878d13f792dabf9a376bceecf/#dst11" w:history="1">
        <w:r>
          <w:rPr>
            <w:rStyle w:val="849"/>
            <w:rFonts w:ascii="Times New Roman" w:hAnsi="Times New Roman" w:eastAsia="Times New Roman" w:cs="Times New Roman"/>
            <w:color w:val="000000"/>
            <w:sz w:val="30"/>
            <w:u w:val="none"/>
          </w:rPr>
          <w:t xml:space="preserve">пункта 50</w:t>
        </w:r>
      </w:hyperlink>
      <w:r>
        <w:rPr>
          <w:rFonts w:ascii="Times New Roman" w:hAnsi="Times New Roman" w:eastAsia="Times New Roman" w:cs="Times New Roman"/>
          <w:color w:val="000000"/>
          <w:sz w:val="30"/>
          <w:u w:val="none"/>
        </w:rPr>
        <w:t xml:space="preserve"> Требований к подготовке межевого плана и состава содержащихся в нем сведений, утвержденных приказом Росреестра от 14.12.2021 N П/0592, </w:t>
      </w:r>
      <w:hyperlink r:id="rId16" w:tooltip="https://www.consultant.ru/document/cons_doc_LAW_514714/6bb17c6fbce28f9f8b06bc65e4f14f3b36c3601f/#dst19" w:history="1">
        <w:r>
          <w:rPr>
            <w:rStyle w:val="849"/>
            <w:rFonts w:ascii="Times New Roman" w:hAnsi="Times New Roman" w:eastAsia="Times New Roman" w:cs="Times New Roman"/>
            <w:color w:val="000000"/>
            <w:sz w:val="30"/>
            <w:u w:val="none"/>
          </w:rPr>
          <w:t xml:space="preserve">пункта 51</w:t>
        </w:r>
      </w:hyperlink>
      <w:r>
        <w:rPr>
          <w:rFonts w:ascii="Times New Roman" w:hAnsi="Times New Roman" w:eastAsia="Times New Roman" w:cs="Times New Roman"/>
          <w:color w:val="000000"/>
          <w:sz w:val="30"/>
          <w:u w:val="none"/>
        </w:rPr>
        <w:t xml:space="preserve"> Требований к подготовке технического плана и состава содержащихся в нем сведений, утвержденных приказом Росреестра от 15.03.2022 N П/0082:</w:t>
      </w:r>
      <w:r>
        <w:rPr>
          <w:rFonts w:ascii="Times New Roman" w:hAnsi="Times New Roman" w:cs="Times New Roman"/>
          <w:u w:val="none"/>
        </w:rPr>
      </w:r>
      <w:r>
        <w:rPr>
          <w:rFonts w:ascii="Times New Roman" w:hAnsi="Times New Roman" w:cs="Times New Roman"/>
          <w:u w:val="none"/>
        </w:rPr>
      </w:r>
    </w:p>
    <w:p>
      <w:pPr>
        <w:ind w:left="120" w:right="120" w:firstLine="0"/>
        <w:jc w:val="both"/>
        <w:rPr>
          <w:rFonts w:ascii="Times New Roman" w:hAnsi="Times New Roman" w:cs="Times New Roman"/>
          <w:sz w:val="28"/>
          <w:szCs w:val="28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none"/>
        </w:rPr>
        <w:t xml:space="preserve">в случае, если объект недвижимости является объектом адресации, в межевом, в в в техническом плане должен быть указан уникальный номер адреса объекта адресации в государственном адресном реестре (присвоенный уполномоченным органом в том числе на основании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none"/>
        </w:rPr>
        <w:t xml:space="preserve"> обращения кадастрового инженера) , однако вопрос с адресами остается очень болезненным на сегодняшний день. </w:t>
      </w:r>
      <w:r>
        <w:rPr>
          <w:rFonts w:ascii="Times New Roman" w:hAnsi="Times New Roman" w:cs="Times New Roman"/>
          <w:sz w:val="28"/>
          <w:szCs w:val="28"/>
          <w:u w:val="none"/>
        </w:rPr>
      </w:r>
      <w:r>
        <w:rPr>
          <w:rFonts w:ascii="Times New Roman" w:hAnsi="Times New Roman" w:cs="Times New Roman"/>
          <w:sz w:val="28"/>
          <w:szCs w:val="28"/>
          <w:u w:val="none"/>
        </w:rPr>
      </w:r>
    </w:p>
    <w:p>
      <w:pPr>
        <w:ind w:left="0" w:right="0" w:firstLine="0"/>
        <w:jc w:val="both"/>
        <w:spacing w:line="56" w:lineRule="atLeast"/>
        <w:rPr>
          <w:rFonts w:ascii="Times New Roman" w:hAnsi="Times New Roman" w:cs="Times New Roman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Хотелось бы обратить так же внимание, что  на основании п.п. 14, 15 Правил присвоения, изменения и аннулирования адресов, утвержденные постановлением Правительства Российской Федерации от 19.11.2014 </w:t>
        <w:br/>
        <w:t xml:space="preserve">№ 12213, регулирующие порядок присвоения адресов объекта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 недвижимости, являющимся объектами адресации при физическом прекращении существования объекта капитального строительства и снятии его с государственного кадастрового учета адрес объекта недвижимого имущества аннулируется. В соответствии с п. 8 Правил при 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создании объекта капитального строительства и до его государственного кадастрового учета такому объекту капитального строительства присваивается адрес. Снос объекта капитального строительства и строительство на этом же земельном участке другого объекта кап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итального строительства независимо от временного разрыва между снятием с государственного кадастрового учета снесенного объекта и завершением строительства другого объекта не являются действиями по преобразованию, реконструкции, изменению характеристик сне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сенного объекта недвижимости, являющегося объектом адресации. Это отдельные действия, направленные на прекращение существования одного объекта недвижимого имущества, являющегося объектом адресации, и на создание другого объекта недвижимого имущества, являю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щегося «новым» объектом адресации.</w:t>
      </w:r>
      <w:r>
        <w:rPr>
          <w:rFonts w:ascii="Times New Roman" w:hAnsi="Times New Roman" w:cs="Times New Roman"/>
          <w:u w:val="none"/>
        </w:rPr>
      </w:r>
      <w:r>
        <w:rPr>
          <w:rFonts w:ascii="Times New Roman" w:hAnsi="Times New Roman" w:cs="Times New Roman"/>
          <w:u w:val="none"/>
        </w:rPr>
      </w:r>
    </w:p>
    <w:p>
      <w:pPr>
        <w:ind w:left="0" w:right="0" w:firstLine="0"/>
        <w:jc w:val="both"/>
        <w:spacing w:line="56" w:lineRule="atLeast"/>
        <w:rPr>
          <w:rFonts w:ascii="Times New Roman" w:hAnsi="Times New Roman" w:cs="Times New Roman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 этой связи просьба обратить внимание, что в случае сноса объекта капитального строительства и строительства на этом же земельном участке нового объекта недвижимости, адрес снесенного объекта недвижимого имущества должен быть аннулирован после снятия объек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та с государственного кадастрового учета, а построенному объекту недвижимого имущества должен быть присвоен адрес до его государственного кадастрового учета с новым уникальным номером в Государственном адресном реестре. Впоследствии новый адрес будет испол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ьзован кадастровым инженером при подготовке технического плана в целях осуществления государственного кадастрового учета и государственной регистрации прав на созданный объект капитального строительства.</w:t>
      </w:r>
      <w:r>
        <w:rPr>
          <w:rFonts w:ascii="Times New Roman" w:hAnsi="Times New Roman" w:cs="Times New Roman"/>
          <w:u w:val="none"/>
        </w:rPr>
      </w:r>
      <w:r>
        <w:rPr>
          <w:rFonts w:ascii="Times New Roman" w:hAnsi="Times New Roman" w:cs="Times New Roman"/>
          <w:u w:val="none"/>
        </w:rPr>
      </w:r>
    </w:p>
    <w:p>
      <w:pPr>
        <w:ind w:left="0" w:right="0" w:firstLine="0"/>
        <w:jc w:val="both"/>
        <w:spacing w:line="56" w:lineRule="atLeast"/>
        <w:rPr>
          <w:rFonts w:ascii="Times New Roman" w:hAnsi="Times New Roman" w:cs="Times New Roman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И еще один момент, на который бы хотелось обратить внимание, кто обращается к кадастровому инженеру за подготовкой технического или межевого плана , пожалуйста проверяйте документы, закажите выписку, уточните, есть ли доверенность, справка от нотариуса|, я</w:t>
      </w:r>
      <w:r>
        <w:rPr>
          <w:rFonts w:ascii="Times New Roman" w:hAnsi="Times New Roman" w:eastAsia="Times New Roman" w:cs="Times New Roman"/>
          <w:color w:val="000000"/>
          <w:sz w:val="28"/>
          <w:u w:val="none"/>
        </w:rPr>
        <w:t xml:space="preserve">вляется ли заказчик собственником, наследником, доверенным лицом, т. к. имеются случаи, обращения за учетом изменений объекта недвижимости, где заявитель не смог подтвердить свои полномочия на распоряжение данным объектом.</w:t>
      </w:r>
      <w:r>
        <w:rPr>
          <w:rFonts w:ascii="Times New Roman" w:hAnsi="Times New Roman" w:cs="Times New Roman"/>
          <w:u w:val="none"/>
        </w:rPr>
      </w:r>
      <w:r>
        <w:rPr>
          <w:rFonts w:ascii="Times New Roman" w:hAnsi="Times New Roman" w:cs="Times New Roman"/>
          <w:u w:val="none"/>
        </w:rPr>
      </w:r>
    </w:p>
    <w:p>
      <w:pPr>
        <w:ind w:left="0" w:right="0" w:firstLine="1134"/>
        <w:jc w:val="both"/>
        <w:spacing w:line="56" w:lineRule="atLeast"/>
        <w:rPr>
          <w:rFonts w:ascii="Times New Roman" w:hAnsi="Times New Roman" w:cs="Times New Roman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u w:val="none"/>
        </w:rPr>
      </w:r>
      <w:r>
        <w:rPr>
          <w:rFonts w:ascii="Times New Roman" w:hAnsi="Times New Roman" w:cs="Times New Roman"/>
          <w:u w:val="none"/>
        </w:rPr>
      </w:r>
      <w:r>
        <w:rPr>
          <w:rFonts w:ascii="Times New Roman" w:hAnsi="Times New Roman" w:cs="Times New Roman"/>
          <w:u w:val="none"/>
        </w:rPr>
      </w:r>
    </w:p>
    <w:p>
      <w:pPr>
        <w:rPr>
          <w:rFonts w:ascii="Times New Roman" w:hAnsi="Times New Roman" w:cs="Times New Roman"/>
          <w:u w:val="none"/>
        </w:rPr>
      </w:pPr>
      <w:r>
        <w:rPr>
          <w:rFonts w:ascii="Times New Roman" w:hAnsi="Times New Roman" w:eastAsia="Times New Roman" w:cs="Times New Roman"/>
          <w:u w:val="none"/>
        </w:rPr>
      </w:r>
      <w:r>
        <w:rPr>
          <w:rFonts w:ascii="Times New Roman" w:hAnsi="Times New Roman" w:cs="Times New Roman"/>
          <w:u w:val="none"/>
        </w:rPr>
      </w:r>
      <w:r>
        <w:rPr>
          <w:rFonts w:ascii="Times New Roman" w:hAnsi="Times New Roman" w:cs="Times New Roman"/>
          <w:u w:val="none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7"/>
      <w:jc w:val="center"/>
    </w:pPr>
    <w:fldSimple w:instr="PAGE \* MERGEFORMAT">
      <w:r>
        <w:t xml:space="preserve">1</w:t>
      </w:r>
    </w:fldSimple>
    <w:r/>
    <w:r/>
  </w:p>
  <w:p>
    <w:pPr>
      <w:pStyle w:val="71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1">
    <w:name w:val="Heading 1"/>
    <w:basedOn w:val="867"/>
    <w:next w:val="867"/>
    <w:link w:val="69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2">
    <w:name w:val="Heading 1 Char"/>
    <w:link w:val="69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3">
    <w:name w:val="Heading 2"/>
    <w:basedOn w:val="867"/>
    <w:next w:val="867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4">
    <w:name w:val="Heading 2 Char"/>
    <w:link w:val="693"/>
    <w:uiPriority w:val="9"/>
    <w:rPr>
      <w:rFonts w:ascii="Liberation Sans" w:hAnsi="Liberation Sans" w:eastAsia="Liberation Sans" w:cs="Liberation Sans"/>
      <w:sz w:val="34"/>
    </w:rPr>
  </w:style>
  <w:style w:type="paragraph" w:styleId="695">
    <w:name w:val="Heading 3"/>
    <w:basedOn w:val="867"/>
    <w:next w:val="867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6">
    <w:name w:val="Heading 3 Char"/>
    <w:link w:val="69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7">
    <w:name w:val="Heading 4"/>
    <w:basedOn w:val="867"/>
    <w:next w:val="867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8">
    <w:name w:val="Heading 4 Char"/>
    <w:link w:val="69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9">
    <w:name w:val="Heading 5"/>
    <w:basedOn w:val="867"/>
    <w:next w:val="867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0">
    <w:name w:val="Heading 5 Char"/>
    <w:link w:val="69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1">
    <w:name w:val="Heading 6"/>
    <w:basedOn w:val="867"/>
    <w:next w:val="867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2">
    <w:name w:val="Heading 6 Char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3">
    <w:name w:val="Heading 7"/>
    <w:basedOn w:val="867"/>
    <w:next w:val="867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4">
    <w:name w:val="Heading 7 Char"/>
    <w:link w:val="70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5">
    <w:name w:val="Heading 8"/>
    <w:basedOn w:val="867"/>
    <w:next w:val="867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6">
    <w:name w:val="Heading 8 Char"/>
    <w:link w:val="70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7">
    <w:name w:val="Heading 9"/>
    <w:basedOn w:val="867"/>
    <w:next w:val="86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8">
    <w:name w:val="Heading 9 Char"/>
    <w:link w:val="70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9">
    <w:name w:val="Title"/>
    <w:basedOn w:val="867"/>
    <w:next w:val="867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>
    <w:name w:val="Title Char"/>
    <w:link w:val="709"/>
    <w:uiPriority w:val="10"/>
    <w:rPr>
      <w:sz w:val="48"/>
      <w:szCs w:val="48"/>
    </w:rPr>
  </w:style>
  <w:style w:type="paragraph" w:styleId="711">
    <w:name w:val="Subtitle"/>
    <w:basedOn w:val="867"/>
    <w:next w:val="867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link w:val="711"/>
    <w:uiPriority w:val="11"/>
    <w:rPr>
      <w:sz w:val="24"/>
      <w:szCs w:val="24"/>
    </w:rPr>
  </w:style>
  <w:style w:type="paragraph" w:styleId="713">
    <w:name w:val="Quote"/>
    <w:basedOn w:val="867"/>
    <w:next w:val="867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67"/>
    <w:next w:val="867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paragraph" w:styleId="717">
    <w:name w:val="Header"/>
    <w:basedOn w:val="867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Header Char"/>
    <w:link w:val="717"/>
    <w:uiPriority w:val="99"/>
  </w:style>
  <w:style w:type="paragraph" w:styleId="719">
    <w:name w:val="Footer"/>
    <w:basedOn w:val="867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Footer Char"/>
    <w:link w:val="719"/>
    <w:uiPriority w:val="99"/>
  </w:style>
  <w:style w:type="paragraph" w:styleId="721">
    <w:name w:val="Caption"/>
    <w:basedOn w:val="867"/>
    <w:next w:val="867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"/>
    <w:basedOn w:val="86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6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7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1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2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23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4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5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6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7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8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paragraph" w:styleId="870">
    <w:name w:val="No Spacing"/>
    <w:basedOn w:val="867"/>
    <w:uiPriority w:val="1"/>
    <w:qFormat/>
    <w:pPr>
      <w:spacing w:after="0" w:line="240" w:lineRule="auto"/>
    </w:pPr>
  </w:style>
  <w:style w:type="paragraph" w:styleId="871">
    <w:name w:val="List Paragraph"/>
    <w:basedOn w:val="867"/>
    <w:uiPriority w:val="34"/>
    <w:qFormat/>
    <w:pPr>
      <w:contextualSpacing/>
      <w:ind w:left="720"/>
    </w:pPr>
  </w:style>
  <w:style w:type="character" w:styleId="872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hyperlink" Target="https://base.garant.ru/403820102/53f89421bbdaf741eb2d1ecc4ddb4c33/#block_1000" TargetMode="External"/><Relationship Id="rId12" Type="http://schemas.openxmlformats.org/officeDocument/2006/relationships/hyperlink" Target="https://base.garant.ru/403820102/#block_1800" TargetMode="External"/><Relationship Id="rId13" Type="http://schemas.openxmlformats.org/officeDocument/2006/relationships/hyperlink" Target="https://base.garant.ru/403820102/#block_11000" TargetMode="External"/><Relationship Id="rId14" Type="http://schemas.openxmlformats.org/officeDocument/2006/relationships/hyperlink" Target="https://www.consultant.ru/document/cons_doc_LAW_540441/f10dc2166d2e834a0086658226e2f96fb5f1cb5f/#dst100387" TargetMode="External"/><Relationship Id="rId15" Type="http://schemas.openxmlformats.org/officeDocument/2006/relationships/hyperlink" Target="https://www.consultant.ru/document/cons_doc_LAW_514712/89e69a310e72a15878d13f792dabf9a376bceecf/#dst11" TargetMode="External"/><Relationship Id="rId16" Type="http://schemas.openxmlformats.org/officeDocument/2006/relationships/hyperlink" Target="https://www.consultant.ru/document/cons_doc_LAW_514714/6bb17c6fbce28f9f8b06bc65e4f14f3b36c3601f/#dst1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r22aey15041968</cp:lastModifiedBy>
  <cp:revision>3</cp:revision>
  <dcterms:modified xsi:type="dcterms:W3CDTF">2026-10-29T03:49:10Z</dcterms:modified>
</cp:coreProperties>
</file>